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乌海市财政局</w:t>
      </w: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关于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减免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政府采购领域投标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、履约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保证金的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通知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市本级各预算单位、市公共资源交易中心、各区财政局、各社会代理机构: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为深入贯彻“放管服”改革精神，优化营商环境，促进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中小企业发展，进一步减轻企业负担，降低政府采购供应商交易成本，激发市场主体活力和创造力。经研究决定，在政府采购领域减免投标、履约保证金，现将有关事项通知如下：</w:t>
      </w:r>
    </w:p>
    <w:p>
      <w:pPr>
        <w:numPr>
          <w:ilvl w:val="0"/>
          <w:numId w:val="1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原则上取消政府采购领域集中采购目录内由集中代理机构（乌海市公共资源交易中心）代理项目投标保证金。对于</w:t>
      </w:r>
      <w:r>
        <w:rPr>
          <w:rFonts w:hint="eastAsia" w:ascii="仿宋_GB2312" w:hAnsi="仿宋_GB2312" w:eastAsia="仿宋_GB2312" w:cs="仿宋_GB2312"/>
          <w:sz w:val="32"/>
          <w:szCs w:val="32"/>
        </w:rPr>
        <w:t>技术复杂、性质特殊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确需收取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投标保证金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</w:rPr>
        <w:t>政府采购项目，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需经</w:t>
      </w:r>
      <w:r>
        <w:rPr>
          <w:rFonts w:hint="eastAsia" w:ascii="仿宋_GB2312" w:hAnsi="仿宋_GB2312" w:eastAsia="仿宋_GB2312" w:cs="仿宋_GB2312"/>
          <w:sz w:val="32"/>
          <w:szCs w:val="32"/>
        </w:rPr>
        <w:t>政府采购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监管部门同意后以电子保函方式收取。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鼓励社会代理机构代理项目取消收取投标保证金。</w:t>
      </w:r>
    </w:p>
    <w:p>
      <w:pPr>
        <w:numPr>
          <w:ilvl w:val="0"/>
          <w:numId w:val="1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鼓励采购人根据项目特点、供应商诚信等情况免收履约保证金。对于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项目金额较小、规格、标准统一、现货货源充足且价格变化幅度小，周期较短的的政府采购项目，免收履约保证金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涉及民生、教育、公众利益或</w:t>
      </w:r>
      <w:r>
        <w:rPr>
          <w:rFonts w:hint="eastAsia" w:ascii="仿宋_GB2312" w:hAnsi="仿宋_GB2312" w:eastAsia="仿宋_GB2312" w:cs="仿宋_GB2312"/>
          <w:sz w:val="32"/>
          <w:szCs w:val="32"/>
        </w:rPr>
        <w:t>政府采购项目周期较长，技术复杂，不能在短时间内完成的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政府采购项目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确需收取</w:t>
      </w:r>
      <w:r>
        <w:rPr>
          <w:rFonts w:hint="eastAsia" w:ascii="仿宋_GB2312" w:hAnsi="仿宋_GB2312" w:eastAsia="仿宋_GB2312" w:cs="仿宋_GB2312"/>
          <w:sz w:val="32"/>
          <w:szCs w:val="32"/>
        </w:rPr>
        <w:t>履约保证金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降低收取比例，原则上不得超过政府采购合同金额的5%，并以保函等非现金形式提交。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四、采购人、代理机构要按照与供应商约定期限，及时办理履约保证金款项的退付，不得无故拖延退付期，未按期退付责任的一方将承担经济责任或法律责任。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五</w:t>
      </w:r>
      <w:r>
        <w:rPr>
          <w:rFonts w:hint="eastAsia" w:ascii="仿宋_GB2312" w:hAnsi="仿宋_GB2312" w:eastAsia="仿宋_GB2312" w:cs="仿宋_GB2312"/>
          <w:sz w:val="32"/>
          <w:szCs w:val="32"/>
        </w:rPr>
        <w:t>、本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通知</w:t>
      </w:r>
      <w:r>
        <w:rPr>
          <w:rFonts w:hint="eastAsia" w:ascii="仿宋_GB2312" w:hAnsi="仿宋_GB2312" w:eastAsia="仿宋_GB2312" w:cs="仿宋_GB2312"/>
          <w:sz w:val="32"/>
          <w:szCs w:val="32"/>
        </w:rPr>
        <w:t>自下发之日起执行。</w:t>
      </w:r>
    </w:p>
    <w:p>
      <w:pPr>
        <w:ind w:firstLine="5760" w:firstLineChars="18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乌海市财政局</w:t>
      </w:r>
    </w:p>
    <w:p>
      <w:pPr>
        <w:ind w:firstLine="5760" w:firstLineChars="18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月3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2E3E6D0"/>
    <w:multiLevelType w:val="singleLevel"/>
    <w:tmpl w:val="E2E3E6D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C2032D"/>
    <w:rsid w:val="0A767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229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2022-05-31T02:37:00Z</dcterms:created>
  <dc:creator>xgl</dc:creator>
  <cp:lastModifiedBy>彭文星</cp:lastModifiedBy>
  <dcterms:modified xsi:type="dcterms:W3CDTF">2022-05-31T07:25:46Z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34E0373895564D71910224B16AF915AC</vt:lpwstr>
  </property>
</Properties>
</file>