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207E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乌海市财政局</w:t>
      </w:r>
    </w:p>
    <w:p w14:paraId="1949054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关于下达2026年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自治区财政常态化帮扶</w:t>
      </w:r>
    </w:p>
    <w:p w14:paraId="5E092D0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资金（第二批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少数民族发展</w:t>
      </w:r>
    </w:p>
    <w:p w14:paraId="3E0A2D5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任务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）预算的通知</w:t>
      </w:r>
    </w:p>
    <w:p w14:paraId="04C0670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6B0081">
      <w:pPr>
        <w:pStyle w:val="2"/>
        <w:keepNext w:val="0"/>
        <w:keepLines w:val="0"/>
        <w:widowControl/>
        <w:suppressLineNumbers w:val="0"/>
      </w:pPr>
      <w:bookmarkStart w:id="0" w:name="_GoBack"/>
      <w:r>
        <w:rPr>
          <w:rFonts w:hint="eastAsia" w:ascii="仿宋_GB2312" w:eastAsia="仿宋_GB2312" w:cs="仿宋_GB2312"/>
          <w:color w:val="000000"/>
          <w:sz w:val="31"/>
          <w:szCs w:val="31"/>
          <w:lang w:eastAsia="zh-CN"/>
        </w:rPr>
        <w:t>各区财政局</w:t>
      </w:r>
      <w:bookmarkEnd w:id="0"/>
      <w:r>
        <w:rPr>
          <w:rFonts w:ascii="仿宋_GB2312" w:eastAsia="仿宋_GB2312" w:cs="仿宋_GB2312"/>
          <w:color w:val="000000"/>
          <w:sz w:val="31"/>
          <w:szCs w:val="31"/>
        </w:rPr>
        <w:t>：</w:t>
      </w:r>
    </w:p>
    <w:p w14:paraId="61733665">
      <w:pPr>
        <w:pStyle w:val="2"/>
        <w:keepNext w:val="0"/>
        <w:keepLines w:val="0"/>
        <w:widowControl/>
        <w:suppressLineNumbers w:val="0"/>
        <w:ind w:firstLine="620" w:firstLineChars="200"/>
      </w:pPr>
      <w:r>
        <w:rPr>
          <w:rFonts w:hint="eastAsia" w:ascii="仿宋_GB2312" w:eastAsia="仿宋_GB2312" w:cs="仿宋_GB2312"/>
          <w:color w:val="000000"/>
          <w:sz w:val="31"/>
          <w:szCs w:val="31"/>
          <w:lang w:eastAsia="zh-CN"/>
        </w:rPr>
        <w:t>根据《内蒙古自治区财政厅关于下达2026年自治区财政常态化帮扶资金（第二批）预算的通知》（</w:t>
      </w:r>
      <w:r>
        <w:rPr>
          <w:rFonts w:ascii="仿宋_GB2312" w:eastAsia="仿宋_GB2312" w:cs="仿宋_GB2312"/>
          <w:color w:val="000000"/>
          <w:sz w:val="31"/>
          <w:szCs w:val="31"/>
        </w:rPr>
        <w:t>内财农〔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2026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〕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268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号</w:t>
      </w:r>
      <w:r>
        <w:rPr>
          <w:rFonts w:hint="eastAsia" w:ascii="仿宋_GB2312" w:eastAsia="仿宋_GB2312" w:cs="仿宋_GB2312"/>
          <w:color w:val="000000"/>
          <w:sz w:val="31"/>
          <w:szCs w:val="31"/>
          <w:lang w:eastAsia="zh-CN"/>
        </w:rPr>
        <w:t>）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，现下达你</w:t>
      </w:r>
      <w:r>
        <w:rPr>
          <w:rFonts w:hint="eastAsia" w:ascii="仿宋_GB2312" w:eastAsia="仿宋_GB2312" w:cs="仿宋_GB2312"/>
          <w:color w:val="000000"/>
          <w:sz w:val="31"/>
          <w:szCs w:val="31"/>
          <w:lang w:eastAsia="zh-CN"/>
        </w:rPr>
        <w:t>区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2026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年自治区财政常态化帮扶资金（第二批少数民族发展任务）预算指标，收入列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2026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年政府收支分类科目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“1100231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巩固脱贫攻坚成果衔接乡村振兴转移支付收入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”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科目，支出列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“21305”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相应科目。现将有关事项通知如下。</w:t>
      </w:r>
    </w:p>
    <w:p w14:paraId="2345584C">
      <w:pPr>
        <w:pStyle w:val="2"/>
        <w:keepNext w:val="0"/>
        <w:keepLines w:val="0"/>
        <w:widowControl/>
        <w:suppressLineNumbers w:val="0"/>
        <w:ind w:firstLine="620" w:firstLineChars="200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一、此次资金按照《中央财政常态化帮扶资金管理办法》（财农〔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2026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〕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10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号）有关规定，结合自治区实际分解下达。待自治区财政常态化帮扶资金管理办法正式印发后，资金使用管理按照新修订资金管理办法等要求执行，对不符合要求的，要及时作出调整。</w:t>
      </w:r>
    </w:p>
    <w:p w14:paraId="566D3ABD">
      <w:pPr>
        <w:pStyle w:val="2"/>
        <w:keepNext w:val="0"/>
        <w:keepLines w:val="0"/>
        <w:widowControl/>
        <w:suppressLineNumbers w:val="0"/>
        <w:ind w:firstLine="620" w:firstLineChars="200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二、突出资金支持重点，强化重点政策和重点工作落实。资金重点用于产业帮扶、就业帮扶和欠发达地区开发式帮扶。各</w:t>
      </w:r>
      <w:r>
        <w:rPr>
          <w:rFonts w:hint="eastAsia" w:ascii="仿宋_GB2312" w:eastAsia="仿宋_GB2312" w:cs="仿宋_GB2312"/>
          <w:color w:val="000000"/>
          <w:sz w:val="31"/>
          <w:szCs w:val="31"/>
          <w:lang w:eastAsia="zh-CN"/>
        </w:rPr>
        <w:t>区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要督促相关行业主管部门加强业务指导，推动</w:t>
      </w:r>
      <w:r>
        <w:rPr>
          <w:rFonts w:hint="eastAsia" w:ascii="仿宋_GB2312" w:eastAsia="仿宋_GB2312" w:cs="仿宋_GB2312"/>
          <w:color w:val="000000"/>
          <w:sz w:val="31"/>
          <w:szCs w:val="31"/>
          <w:lang w:eastAsia="zh-CN"/>
        </w:rPr>
        <w:t>本区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做好项目安排、组织实施等工作，不断健全完善产业项目联农带农机制，强化资金项目绩效管理，提高财政资金使用效益，推动持续巩固拓展脱贫攻坚成果，促进乡村全面振兴。</w:t>
      </w:r>
    </w:p>
    <w:p w14:paraId="01732DD1">
      <w:pPr>
        <w:pStyle w:val="2"/>
        <w:keepNext w:val="0"/>
        <w:keepLines w:val="0"/>
        <w:widowControl/>
        <w:suppressLineNumbers w:val="0"/>
        <w:ind w:firstLine="620" w:firstLineChars="200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三、认真落实预算执行常态化监督有关要求。此次下达的自治区帮扶资金列入转移支付预算执行常态化监督范围，</w:t>
      </w:r>
      <w:r>
        <w:rPr>
          <w:rFonts w:hint="eastAsia" w:ascii="仿宋_GB2312" w:eastAsia="仿宋_GB2312" w:cs="仿宋_GB2312"/>
          <w:color w:val="000000"/>
          <w:sz w:val="31"/>
          <w:szCs w:val="31"/>
          <w:lang w:eastAsia="zh-CN"/>
        </w:rPr>
        <w:t>各区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财政部门要在预算管理一体化系统及时接收登录预算指标，并保持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“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追踪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”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标识不变，将资金分解落实到单位和具体项目时，对资金来源既包含自治区帮扶资金又包含地方对应安排资金的，应在预算指标文件、预算管理一体化系统中按资金明细来源分别列示和登录预算指标。</w:t>
      </w:r>
      <w:r>
        <w:rPr>
          <w:rFonts w:hint="eastAsia" w:ascii="仿宋_GB2312" w:eastAsia="仿宋_GB2312" w:cs="仿宋_GB2312"/>
          <w:color w:val="000000"/>
          <w:sz w:val="31"/>
          <w:szCs w:val="31"/>
          <w:lang w:eastAsia="zh-CN"/>
        </w:rPr>
        <w:t>各区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财政部门要依托预算管理一体化系统转移支付监控模块，加强日常监管，提高转移支付资金管理使用的规范性和有效性。</w:t>
      </w:r>
    </w:p>
    <w:p w14:paraId="3EF2EB5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477" w:leftChars="295" w:hanging="858" w:hangingChars="277"/>
        <w:jc w:val="both"/>
        <w:textAlignment w:val="auto"/>
        <w:rPr>
          <w:rFonts w:hint="eastAsia" w:ascii="仿宋_GB2312" w:eastAsia="仿宋_GB2312" w:cs="仿宋_GB2312"/>
          <w:color w:val="000000"/>
          <w:sz w:val="31"/>
          <w:szCs w:val="31"/>
        </w:rPr>
      </w:pPr>
    </w:p>
    <w:p w14:paraId="2B4B3E9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477" w:leftChars="295" w:hanging="858" w:hangingChars="277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附件：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2026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年自治区财政常态化帮扶资金（第二批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少数民族发展任务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）预算分配表</w:t>
      </w:r>
    </w:p>
    <w:p w14:paraId="3277F31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27900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1535506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EDBA3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乌海市财政局</w:t>
      </w:r>
    </w:p>
    <w:p w14:paraId="63DEF69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2026年4月20日</w:t>
      </w:r>
    </w:p>
    <w:p w14:paraId="494116E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96D2AA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D2B27D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749EFA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254F9003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B35F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2026年自治区财政常态化帮扶资金（第二批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少数民族发展任务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）预算分配表</w:t>
      </w:r>
    </w:p>
    <w:p w14:paraId="0DEAE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15F9B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80" w:firstLineChars="19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单位：万元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3040F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3BC7C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地区</w:t>
            </w:r>
          </w:p>
        </w:tc>
        <w:tc>
          <w:tcPr>
            <w:tcW w:w="4261" w:type="dxa"/>
          </w:tcPr>
          <w:p w14:paraId="3D877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少数民族发展任务</w:t>
            </w:r>
          </w:p>
        </w:tc>
      </w:tr>
      <w:tr w14:paraId="17B46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42DFD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4261" w:type="dxa"/>
          </w:tcPr>
          <w:p w14:paraId="19E0B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25</w:t>
            </w:r>
          </w:p>
        </w:tc>
      </w:tr>
      <w:tr w14:paraId="2BA90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25311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海勃湾区</w:t>
            </w:r>
          </w:p>
        </w:tc>
        <w:tc>
          <w:tcPr>
            <w:tcW w:w="4261" w:type="dxa"/>
          </w:tcPr>
          <w:p w14:paraId="46872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</w:tr>
      <w:tr w14:paraId="1D2EC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70D37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海南区</w:t>
            </w:r>
          </w:p>
        </w:tc>
        <w:tc>
          <w:tcPr>
            <w:tcW w:w="4261" w:type="dxa"/>
          </w:tcPr>
          <w:p w14:paraId="2C225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</w:tr>
      <w:tr w14:paraId="25501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675C3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乌达区</w:t>
            </w:r>
          </w:p>
        </w:tc>
        <w:tc>
          <w:tcPr>
            <w:tcW w:w="4261" w:type="dxa"/>
          </w:tcPr>
          <w:p w14:paraId="5C9D8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</w:tr>
    </w:tbl>
    <w:p w14:paraId="45D66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C640B"/>
    <w:rsid w:val="0DB02216"/>
    <w:rsid w:val="1DA24FB1"/>
    <w:rsid w:val="21FC640B"/>
    <w:rsid w:val="6749577F"/>
    <w:rsid w:val="7190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2026-04-17T10:24:00Z</dcterms:created>
  <dc:creator>全永胜</dc:creator>
  <cp:lastModifiedBy>全永胜</cp:lastModifiedBy>
  <cp:lastPrinted>2026-04-20T06:54:07Z</cp:lastPrinted>
  <dcterms:modified xsi:type="dcterms:W3CDTF">2026-04-20T07:42:17Z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FB0056D2DC254CDDAD1D32C0A508FA0D_11</vt:lpwstr>
  </property>
</Properties>
</file>