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528C7">
      <w:pPr>
        <w:pStyle w:val="2"/>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3"/>
          <w:szCs w:val="43"/>
          <w:lang w:eastAsia="zh-CN"/>
        </w:rPr>
      </w:pPr>
      <w:r>
        <w:rPr>
          <w:rFonts w:hint="eastAsia" w:ascii="方正小标宋简体" w:hAnsi="方正小标宋简体" w:eastAsia="方正小标宋简体" w:cs="方正小标宋简体"/>
          <w:color w:val="000000"/>
          <w:sz w:val="43"/>
          <w:szCs w:val="43"/>
          <w:lang w:eastAsia="zh-CN"/>
        </w:rPr>
        <w:t>乌海市财政局</w:t>
      </w:r>
    </w:p>
    <w:p w14:paraId="354D59C0">
      <w:pPr>
        <w:pStyle w:val="2"/>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pPr>
      <w:bookmarkStart w:id="0" w:name="_GoBack"/>
      <w:r>
        <w:rPr>
          <w:rFonts w:ascii="方正小标宋简体" w:hAnsi="方正小标宋简体" w:eastAsia="方正小标宋简体" w:cs="方正小标宋简体"/>
          <w:color w:val="000000"/>
          <w:sz w:val="43"/>
          <w:szCs w:val="43"/>
        </w:rPr>
        <w:t>关于下达2026年</w:t>
      </w:r>
      <w:r>
        <w:rPr>
          <w:rFonts w:hint="eastAsia" w:ascii="方正小标宋简体" w:hAnsi="方正小标宋简体" w:eastAsia="方正小标宋简体" w:cs="方正小标宋简体"/>
          <w:color w:val="000000"/>
          <w:sz w:val="43"/>
          <w:szCs w:val="43"/>
        </w:rPr>
        <w:t>中央财政常态化帮扶资金</w:t>
      </w:r>
    </w:p>
    <w:p w14:paraId="17D1C7AE">
      <w:pPr>
        <w:pStyle w:val="2"/>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3"/>
          <w:szCs w:val="43"/>
        </w:rPr>
      </w:pPr>
      <w:r>
        <w:rPr>
          <w:rFonts w:hint="eastAsia" w:ascii="方正小标宋简体" w:hAnsi="方正小标宋简体" w:eastAsia="方正小标宋简体" w:cs="方正小标宋简体"/>
          <w:color w:val="000000"/>
          <w:sz w:val="43"/>
          <w:szCs w:val="43"/>
        </w:rPr>
        <w:t>（第二批）预算的通知</w:t>
      </w:r>
      <w:bookmarkEnd w:id="0"/>
    </w:p>
    <w:p w14:paraId="315A093B">
      <w:pPr>
        <w:pStyle w:val="2"/>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color w:val="000000"/>
          <w:sz w:val="43"/>
          <w:szCs w:val="43"/>
        </w:rPr>
      </w:pPr>
    </w:p>
    <w:p w14:paraId="1EFF2A88">
      <w:pPr>
        <w:pStyle w:val="2"/>
        <w:keepNext w:val="0"/>
        <w:keepLines w:val="0"/>
        <w:widowControl/>
        <w:suppressLineNumbers w:val="0"/>
      </w:pPr>
      <w:r>
        <w:rPr>
          <w:rFonts w:ascii="仿宋_GB2312" w:eastAsia="仿宋_GB2312" w:cs="仿宋_GB2312"/>
          <w:color w:val="000000"/>
          <w:sz w:val="31"/>
          <w:szCs w:val="31"/>
        </w:rPr>
        <w:t>各</w:t>
      </w:r>
      <w:r>
        <w:rPr>
          <w:rFonts w:hint="eastAsia" w:ascii="仿宋_GB2312" w:eastAsia="仿宋_GB2312" w:cs="仿宋_GB2312"/>
          <w:color w:val="000000"/>
          <w:sz w:val="31"/>
          <w:szCs w:val="31"/>
          <w:lang w:eastAsia="zh-CN"/>
        </w:rPr>
        <w:t>区</w:t>
      </w:r>
      <w:r>
        <w:rPr>
          <w:rFonts w:ascii="仿宋_GB2312" w:eastAsia="仿宋_GB2312" w:cs="仿宋_GB2312"/>
          <w:color w:val="000000"/>
          <w:sz w:val="31"/>
          <w:szCs w:val="31"/>
        </w:rPr>
        <w:t>财政局：</w:t>
      </w:r>
    </w:p>
    <w:p w14:paraId="2D2FEC50">
      <w:pPr>
        <w:pStyle w:val="2"/>
        <w:keepNext w:val="0"/>
        <w:keepLines w:val="0"/>
        <w:widowControl/>
        <w:suppressLineNumbers w:val="0"/>
        <w:ind w:firstLine="638" w:firstLineChars="200"/>
      </w:pPr>
      <w:r>
        <w:rPr>
          <w:rFonts w:hint="eastAsia" w:ascii="仿宋_GB2312" w:eastAsia="仿宋_GB2312" w:cs="仿宋_GB2312"/>
          <w:color w:val="000000"/>
          <w:sz w:val="31"/>
          <w:szCs w:val="31"/>
        </w:rPr>
        <w:t>为贯彻落实党中央关于过渡期后常态化帮扶有关部署，根据《内蒙古自治区财政厅关于下达2026年中央财政常态化帮扶资金（第二批）预算的通知》（内财农〔2026〕348号），现下达你</w:t>
      </w:r>
      <w:r>
        <w:rPr>
          <w:rFonts w:hint="eastAsia" w:ascii="仿宋_GB2312" w:eastAsia="仿宋_GB2312" w:cs="仿宋_GB2312"/>
          <w:color w:val="000000"/>
          <w:sz w:val="31"/>
          <w:szCs w:val="31"/>
          <w:lang w:eastAsia="zh-CN"/>
        </w:rPr>
        <w:t>区</w:t>
      </w: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年中央财政常态化帮扶资金（第二批）（以下简称帮扶资金），收入列</w:t>
      </w: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年政府收支分类科目</w:t>
      </w:r>
      <w:r>
        <w:rPr>
          <w:rFonts w:hint="default" w:ascii="Times New Roman" w:hAnsi="Times New Roman" w:cs="Times New Roman"/>
          <w:color w:val="000000"/>
          <w:sz w:val="31"/>
          <w:szCs w:val="31"/>
        </w:rPr>
        <w:t>“1100231</w:t>
      </w:r>
      <w:r>
        <w:rPr>
          <w:rFonts w:hint="eastAsia" w:ascii="仿宋_GB2312" w:eastAsia="仿宋_GB2312" w:cs="仿宋_GB2312"/>
          <w:color w:val="000000"/>
          <w:sz w:val="31"/>
          <w:szCs w:val="31"/>
        </w:rPr>
        <w:t>巩固脱贫攻坚成果衔接乡村振兴转移支付收入</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，支出列</w:t>
      </w:r>
      <w:r>
        <w:rPr>
          <w:rFonts w:hint="default" w:ascii="Times New Roman" w:hAnsi="Times New Roman" w:cs="Times New Roman"/>
          <w:color w:val="000000"/>
          <w:sz w:val="31"/>
          <w:szCs w:val="31"/>
        </w:rPr>
        <w:t>“21305</w:t>
      </w:r>
      <w:r>
        <w:rPr>
          <w:rFonts w:hint="eastAsia" w:ascii="仿宋_GB2312" w:eastAsia="仿宋_GB2312" w:cs="仿宋_GB2312"/>
          <w:color w:val="000000"/>
          <w:sz w:val="31"/>
          <w:szCs w:val="31"/>
        </w:rPr>
        <w:t>巩固脱贫攻坚成果衔接乡村振兴</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相应科目。项目名称：中央财政常态化帮扶资金；项目代码：</w:t>
      </w:r>
      <w:r>
        <w:rPr>
          <w:rFonts w:hint="default" w:ascii="Times New Roman" w:hAnsi="Times New Roman" w:cs="Times New Roman"/>
          <w:color w:val="000000"/>
          <w:sz w:val="31"/>
          <w:szCs w:val="31"/>
        </w:rPr>
        <w:t>10000015Z155110000004</w:t>
      </w:r>
      <w:r>
        <w:rPr>
          <w:rFonts w:hint="eastAsia" w:ascii="仿宋_GB2312" w:eastAsia="仿宋_GB2312" w:cs="仿宋_GB2312"/>
          <w:color w:val="000000"/>
          <w:sz w:val="31"/>
          <w:szCs w:val="31"/>
        </w:rPr>
        <w:t>。现将有关事项通知如下。</w:t>
      </w:r>
    </w:p>
    <w:p w14:paraId="6C8650AC">
      <w:pPr>
        <w:pStyle w:val="2"/>
        <w:keepNext w:val="0"/>
        <w:keepLines w:val="0"/>
        <w:widowControl/>
        <w:suppressLineNumbers w:val="0"/>
        <w:ind w:firstLine="638" w:firstLineChars="200"/>
      </w:pPr>
      <w:r>
        <w:rPr>
          <w:rFonts w:hint="eastAsia" w:ascii="仿宋_GB2312" w:eastAsia="仿宋_GB2312" w:cs="仿宋_GB2312"/>
          <w:color w:val="000000"/>
          <w:sz w:val="31"/>
          <w:szCs w:val="31"/>
        </w:rPr>
        <w:t>一、请严格按照有关要求，会同行业部门规范开展资金分解下达工作。资金分配要认真贯彻落实党中央、国务院</w:t>
      </w:r>
      <w:r>
        <w:rPr>
          <w:rFonts w:hint="eastAsia" w:ascii="仿宋_GB2312" w:eastAsia="仿宋_GB2312" w:cs="仿宋_GB2312"/>
          <w:color w:val="000000"/>
          <w:sz w:val="31"/>
          <w:szCs w:val="31"/>
          <w:lang w:eastAsia="zh-CN"/>
        </w:rPr>
        <w:t>、</w:t>
      </w:r>
      <w:r>
        <w:rPr>
          <w:rFonts w:hint="eastAsia" w:ascii="仿宋_GB2312" w:eastAsia="仿宋_GB2312" w:cs="仿宋_GB2312"/>
          <w:color w:val="000000"/>
          <w:sz w:val="31"/>
          <w:szCs w:val="31"/>
        </w:rPr>
        <w:t>自治区党委和政府</w:t>
      </w:r>
      <w:r>
        <w:rPr>
          <w:rFonts w:hint="eastAsia" w:ascii="仿宋_GB2312" w:eastAsia="仿宋_GB2312" w:cs="仿宋_GB2312"/>
          <w:color w:val="000000"/>
          <w:sz w:val="31"/>
          <w:szCs w:val="31"/>
          <w:lang w:eastAsia="zh-CN"/>
        </w:rPr>
        <w:t>以及市委、市政府</w:t>
      </w:r>
      <w:r>
        <w:rPr>
          <w:rFonts w:hint="eastAsia" w:ascii="仿宋_GB2312" w:eastAsia="仿宋_GB2312" w:cs="仿宋_GB2312"/>
          <w:color w:val="000000"/>
          <w:sz w:val="31"/>
          <w:szCs w:val="31"/>
        </w:rPr>
        <w:t>关于统筹建立常态化防止返贫致贫机制促进乡村全面振兴的决策部署，聚焦守牢不发生规模性返贫致贫底线，强化对重点地区的投入保障。此次资金按照《中央财政常态化帮扶资金管理办法》（财农〔</w:t>
      </w: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w:t>
      </w:r>
      <w:r>
        <w:rPr>
          <w:rFonts w:hint="default" w:ascii="Times New Roman" w:hAnsi="Times New Roman" w:cs="Times New Roman"/>
          <w:color w:val="000000"/>
          <w:sz w:val="31"/>
          <w:szCs w:val="31"/>
        </w:rPr>
        <w:t>10</w:t>
      </w:r>
      <w:r>
        <w:rPr>
          <w:rFonts w:hint="eastAsia" w:ascii="仿宋_GB2312" w:eastAsia="仿宋_GB2312" w:cs="仿宋_GB2312"/>
          <w:color w:val="000000"/>
          <w:sz w:val="31"/>
          <w:szCs w:val="31"/>
        </w:rPr>
        <w:t>号）有关规定，结合自治区实际分解下达，待自治区财政常态化帮扶资金管理办法正式印发后，资金使用管理按照新修订资金管理办法等要求执行，对不符合要求的，要及时作出调整。</w:t>
      </w:r>
    </w:p>
    <w:p w14:paraId="6A14CD45">
      <w:pPr>
        <w:pStyle w:val="2"/>
        <w:keepNext w:val="0"/>
        <w:keepLines w:val="0"/>
        <w:widowControl/>
        <w:suppressLineNumbers w:val="0"/>
        <w:ind w:firstLine="638" w:firstLineChars="200"/>
      </w:pPr>
      <w:r>
        <w:rPr>
          <w:rFonts w:hint="eastAsia" w:ascii="仿宋_GB2312" w:eastAsia="仿宋_GB2312" w:cs="仿宋_GB2312"/>
          <w:color w:val="000000"/>
          <w:sz w:val="31"/>
          <w:szCs w:val="31"/>
        </w:rPr>
        <w:t>二、突出资金支持重点，强化重点政策和重点工作落实。请认真贯彻落实习近平总书记关于常态化帮扶有关重要指示精神和</w:t>
      </w: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年中央一号文件、自治区一号文件要求，持续加强产业帮扶、就业帮扶和欠发达地区开发式帮扶。督促行业部门加强产业项目论证选择和组织实施，不断健全完善联农带农机制，强化资金项目绩效管理，提升产业项目带动就业、促进增收的实效。对过渡期通过中央财政衔接推进乡村振兴补助资金支持的、截至过渡期结束仍未实施完毕的项目或政策，可继续通过帮扶资金予以支持，确保项目顺利实施、政策有序转换和退出。</w:t>
      </w:r>
    </w:p>
    <w:p w14:paraId="3E47E607">
      <w:pPr>
        <w:pStyle w:val="2"/>
        <w:keepNext w:val="0"/>
        <w:keepLines w:val="0"/>
        <w:widowControl/>
        <w:suppressLineNumbers w:val="0"/>
        <w:ind w:firstLine="638" w:firstLineChars="200"/>
      </w:pPr>
      <w:r>
        <w:rPr>
          <w:rFonts w:hint="eastAsia" w:ascii="仿宋_GB2312" w:eastAsia="仿宋_GB2312" w:cs="仿宋_GB2312"/>
          <w:color w:val="000000"/>
          <w:sz w:val="31"/>
          <w:szCs w:val="31"/>
        </w:rPr>
        <w:t>三、落实预算执行常态化监督有关要求，强化资金使用管理情况跟踪监督。你</w:t>
      </w:r>
      <w:r>
        <w:rPr>
          <w:rFonts w:hint="eastAsia" w:ascii="仿宋_GB2312" w:eastAsia="仿宋_GB2312" w:cs="仿宋_GB2312"/>
          <w:color w:val="000000"/>
          <w:sz w:val="31"/>
          <w:szCs w:val="31"/>
          <w:lang w:eastAsia="zh-CN"/>
        </w:rPr>
        <w:t>区</w:t>
      </w:r>
      <w:r>
        <w:rPr>
          <w:rFonts w:hint="eastAsia" w:ascii="仿宋_GB2312" w:eastAsia="仿宋_GB2312" w:cs="仿宋_GB2312"/>
          <w:color w:val="000000"/>
          <w:sz w:val="31"/>
          <w:szCs w:val="31"/>
        </w:rPr>
        <w:t>收到</w:t>
      </w:r>
      <w:r>
        <w:rPr>
          <w:rFonts w:hint="eastAsia" w:ascii="仿宋_GB2312" w:eastAsia="仿宋_GB2312" w:cs="仿宋_GB2312"/>
          <w:color w:val="000000"/>
          <w:sz w:val="31"/>
          <w:szCs w:val="31"/>
          <w:lang w:eastAsia="zh-CN"/>
        </w:rPr>
        <w:t>市级</w:t>
      </w:r>
      <w:r>
        <w:rPr>
          <w:rFonts w:hint="eastAsia" w:ascii="仿宋_GB2312" w:eastAsia="仿宋_GB2312" w:cs="仿宋_GB2312"/>
          <w:color w:val="000000"/>
          <w:sz w:val="31"/>
          <w:szCs w:val="31"/>
        </w:rPr>
        <w:t>财政指标文件后，应在</w:t>
      </w:r>
      <w:r>
        <w:rPr>
          <w:rFonts w:hint="default" w:ascii="Times New Roman" w:hAnsi="Times New Roman" w:cs="Times New Roman"/>
          <w:color w:val="000000"/>
          <w:sz w:val="31"/>
          <w:szCs w:val="31"/>
        </w:rPr>
        <w:t>5</w:t>
      </w:r>
      <w:r>
        <w:rPr>
          <w:rFonts w:hint="eastAsia" w:ascii="仿宋_GB2312" w:eastAsia="仿宋_GB2312" w:cs="仿宋_GB2312"/>
          <w:color w:val="000000"/>
          <w:sz w:val="31"/>
          <w:szCs w:val="31"/>
        </w:rPr>
        <w:t>日内完成下达预算的完整流程。此次下达的帮扶资金列入转移支付预算执行常态化监督范围，盟市、旗县（市、区）财政部门要在预算管理一体化系统及时接收登录预算指标，并保持</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追踪</w:t>
      </w:r>
      <w:r>
        <w:rPr>
          <w:rFonts w:hint="default" w:ascii="Times New Roman" w:hAnsi="Times New Roman" w:cs="Times New Roman"/>
          <w:color w:val="000000"/>
          <w:sz w:val="31"/>
          <w:szCs w:val="31"/>
        </w:rPr>
        <w:t>”</w:t>
      </w:r>
      <w:r>
        <w:rPr>
          <w:rFonts w:hint="eastAsia" w:ascii="仿宋_GB2312" w:eastAsia="仿宋_GB2312" w:cs="仿宋_GB2312"/>
          <w:color w:val="000000"/>
          <w:sz w:val="31"/>
          <w:szCs w:val="31"/>
        </w:rPr>
        <w:t>标识不变。将资金分解落实到单位和具体项目时，对资金来源既包含中央财政帮扶资金又包含地方对应安排资金的，应在预算指标文件、预算管理一体化系统中按资金明细来源分别列示和登录预算指标。</w:t>
      </w:r>
      <w:r>
        <w:rPr>
          <w:rFonts w:hint="eastAsia" w:ascii="仿宋_GB2312" w:eastAsia="仿宋_GB2312" w:cs="仿宋_GB2312"/>
          <w:color w:val="000000"/>
          <w:sz w:val="31"/>
          <w:szCs w:val="31"/>
          <w:lang w:eastAsia="zh-CN"/>
        </w:rPr>
        <w:t>各区</w:t>
      </w:r>
      <w:r>
        <w:rPr>
          <w:rFonts w:hint="eastAsia" w:ascii="仿宋_GB2312" w:eastAsia="仿宋_GB2312" w:cs="仿宋_GB2312"/>
          <w:color w:val="000000"/>
          <w:sz w:val="31"/>
          <w:szCs w:val="31"/>
        </w:rPr>
        <w:t>财政部门要依托预算管理一体化系统转移支付监控模块，加强日常监管，提高转移支付资金管理使用的规范性和有效性。</w:t>
      </w:r>
    </w:p>
    <w:p w14:paraId="3D3CDAF9">
      <w:pPr>
        <w:pStyle w:val="2"/>
        <w:keepNext w:val="0"/>
        <w:keepLines w:val="0"/>
        <w:widowControl/>
        <w:suppressLineNumbers w:val="0"/>
        <w:ind w:firstLine="638" w:firstLineChars="200"/>
      </w:pPr>
      <w:r>
        <w:rPr>
          <w:rFonts w:hint="eastAsia" w:ascii="仿宋_GB2312" w:eastAsia="仿宋_GB2312" w:cs="仿宋_GB2312"/>
          <w:color w:val="000000"/>
          <w:sz w:val="31"/>
          <w:szCs w:val="31"/>
        </w:rPr>
        <w:t>附件：</w:t>
      </w: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年中央财政常态化帮扶资金（第二批）分配表</w:t>
      </w:r>
    </w:p>
    <w:p w14:paraId="3D228178">
      <w:pPr>
        <w:pStyle w:val="2"/>
        <w:keepNext w:val="0"/>
        <w:keepLines w:val="0"/>
        <w:widowControl/>
        <w:suppressLineNumbers w:val="0"/>
        <w:rPr>
          <w:rFonts w:hint="eastAsia" w:ascii="仿宋_GB2312" w:eastAsia="仿宋_GB2312" w:cs="仿宋_GB2312"/>
          <w:color w:val="000000"/>
          <w:sz w:val="31"/>
          <w:szCs w:val="31"/>
        </w:rPr>
      </w:pPr>
    </w:p>
    <w:p w14:paraId="283208F5">
      <w:pPr>
        <w:pStyle w:val="2"/>
        <w:keepNext w:val="0"/>
        <w:keepLines w:val="0"/>
        <w:widowControl/>
        <w:suppressLineNumbers w:val="0"/>
        <w:rPr>
          <w:rFonts w:hint="eastAsia" w:ascii="仿宋_GB2312" w:eastAsia="仿宋_GB2312" w:cs="仿宋_GB2312"/>
          <w:color w:val="000000"/>
          <w:sz w:val="31"/>
          <w:szCs w:val="31"/>
        </w:rPr>
      </w:pPr>
    </w:p>
    <w:p w14:paraId="173D0E77">
      <w:pPr>
        <w:pStyle w:val="2"/>
        <w:keepNext w:val="0"/>
        <w:keepLines w:val="0"/>
        <w:widowControl/>
        <w:suppressLineNumbers w:val="0"/>
        <w:rPr>
          <w:rFonts w:hint="eastAsia" w:ascii="仿宋_GB2312" w:eastAsia="仿宋_GB2312" w:cs="仿宋_GB2312"/>
          <w:color w:val="000000"/>
          <w:sz w:val="31"/>
          <w:szCs w:val="31"/>
        </w:rPr>
      </w:pPr>
    </w:p>
    <w:p w14:paraId="332AD894">
      <w:pPr>
        <w:pStyle w:val="2"/>
        <w:keepNext w:val="0"/>
        <w:keepLines w:val="0"/>
        <w:widowControl/>
        <w:suppressLineNumbers w:val="0"/>
        <w:rPr>
          <w:rFonts w:hint="eastAsia" w:ascii="仿宋_GB2312" w:eastAsia="仿宋_GB2312" w:cs="仿宋_GB2312"/>
          <w:color w:val="000000"/>
          <w:sz w:val="31"/>
          <w:szCs w:val="31"/>
        </w:rPr>
      </w:pPr>
    </w:p>
    <w:p w14:paraId="7A6F525C">
      <w:pPr>
        <w:pStyle w:val="2"/>
        <w:keepNext w:val="0"/>
        <w:keepLines w:val="0"/>
        <w:widowControl/>
        <w:suppressLineNumbers w:val="0"/>
        <w:rPr>
          <w:rFonts w:hint="eastAsia" w:ascii="仿宋_GB2312" w:eastAsia="仿宋_GB2312" w:cs="仿宋_GB2312"/>
          <w:color w:val="000000"/>
          <w:sz w:val="31"/>
          <w:szCs w:val="31"/>
        </w:rPr>
      </w:pPr>
    </w:p>
    <w:p w14:paraId="37105D9D">
      <w:pPr>
        <w:pStyle w:val="2"/>
        <w:keepNext w:val="0"/>
        <w:keepLines w:val="0"/>
        <w:widowControl/>
        <w:suppressLineNumbers w:val="0"/>
        <w:ind w:firstLine="5104" w:firstLineChars="1600"/>
        <w:rPr>
          <w:rFonts w:hint="eastAsia" w:ascii="仿宋_GB2312" w:eastAsia="仿宋_GB2312" w:cs="仿宋_GB2312"/>
          <w:color w:val="000000"/>
          <w:sz w:val="31"/>
          <w:szCs w:val="31"/>
          <w:lang w:eastAsia="zh-CN"/>
        </w:rPr>
      </w:pPr>
      <w:r>
        <w:rPr>
          <w:rFonts w:hint="eastAsia" w:ascii="仿宋_GB2312" w:eastAsia="仿宋_GB2312" w:cs="仿宋_GB2312"/>
          <w:color w:val="000000"/>
          <w:sz w:val="31"/>
          <w:szCs w:val="31"/>
          <w:lang w:eastAsia="zh-CN"/>
        </w:rPr>
        <w:t>乌海市财政局</w:t>
      </w:r>
    </w:p>
    <w:p w14:paraId="363A15AC">
      <w:pPr>
        <w:pStyle w:val="2"/>
        <w:keepNext w:val="0"/>
        <w:keepLines w:val="0"/>
        <w:widowControl/>
        <w:suppressLineNumbers w:val="0"/>
        <w:ind w:firstLine="4785" w:firstLineChars="1500"/>
      </w:pPr>
      <w:r>
        <w:rPr>
          <w:rFonts w:hint="default" w:ascii="Times New Roman" w:hAnsi="Times New Roman" w:cs="Times New Roman"/>
          <w:color w:val="000000"/>
          <w:sz w:val="31"/>
          <w:szCs w:val="31"/>
        </w:rPr>
        <w:t>2026</w:t>
      </w:r>
      <w:r>
        <w:rPr>
          <w:rFonts w:hint="eastAsia" w:ascii="仿宋_GB2312" w:eastAsia="仿宋_GB2312" w:cs="仿宋_GB2312"/>
          <w:color w:val="000000"/>
          <w:sz w:val="31"/>
          <w:szCs w:val="31"/>
        </w:rPr>
        <w:t>年</w:t>
      </w:r>
      <w:r>
        <w:rPr>
          <w:rFonts w:hint="eastAsia" w:ascii="仿宋_GB2312" w:eastAsia="仿宋_GB2312" w:cs="仿宋_GB2312"/>
          <w:color w:val="000000"/>
          <w:sz w:val="31"/>
          <w:szCs w:val="31"/>
          <w:lang w:val="en-US" w:eastAsia="zh-CN"/>
        </w:rPr>
        <w:t>5</w:t>
      </w:r>
      <w:r>
        <w:rPr>
          <w:rFonts w:hint="eastAsia" w:ascii="仿宋_GB2312" w:eastAsia="仿宋_GB2312" w:cs="仿宋_GB2312"/>
          <w:color w:val="000000"/>
          <w:sz w:val="31"/>
          <w:szCs w:val="31"/>
        </w:rPr>
        <w:t>月</w:t>
      </w:r>
      <w:r>
        <w:rPr>
          <w:rFonts w:hint="eastAsia" w:ascii="仿宋_GB2312" w:eastAsia="仿宋_GB2312" w:cs="仿宋_GB2312"/>
          <w:color w:val="000000"/>
          <w:sz w:val="31"/>
          <w:szCs w:val="31"/>
          <w:lang w:val="en-US" w:eastAsia="zh-CN"/>
        </w:rPr>
        <w:t>7</w:t>
      </w:r>
      <w:r>
        <w:rPr>
          <w:rFonts w:hint="eastAsia" w:ascii="仿宋_GB2312" w:eastAsia="仿宋_GB2312" w:cs="仿宋_GB2312"/>
          <w:color w:val="000000"/>
          <w:sz w:val="31"/>
          <w:szCs w:val="31"/>
        </w:rPr>
        <w:t>日</w:t>
      </w:r>
    </w:p>
    <w:p w14:paraId="39861333"/>
    <w:p w14:paraId="6EE92021"/>
    <w:p w14:paraId="5CDD867E"/>
    <w:p w14:paraId="75351F11"/>
    <w:p w14:paraId="171A18E0"/>
    <w:p w14:paraId="79EA626F"/>
    <w:p w14:paraId="3376821C"/>
    <w:p w14:paraId="1B5E5EBF"/>
    <w:p w14:paraId="088A367A"/>
    <w:p w14:paraId="674EFF0C"/>
    <w:p w14:paraId="4ACB99FF"/>
    <w:p w14:paraId="183A4329"/>
    <w:p w14:paraId="7B831358"/>
    <w:p w14:paraId="1E09757E"/>
    <w:p w14:paraId="5D32ED29"/>
    <w:p w14:paraId="503BE9B0"/>
    <w:p w14:paraId="46AB4061"/>
    <w:p w14:paraId="350F54C3"/>
    <w:p w14:paraId="0870CAB4"/>
    <w:p w14:paraId="158A9F0E"/>
    <w:p w14:paraId="5FD7AC5F"/>
    <w:p w14:paraId="2FD379FC"/>
    <w:p w14:paraId="63AF6C3A"/>
    <w:p w14:paraId="769D2DA2"/>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38"/>
        <w:gridCol w:w="880"/>
        <w:gridCol w:w="1184"/>
        <w:gridCol w:w="1184"/>
        <w:gridCol w:w="1184"/>
        <w:gridCol w:w="1186"/>
        <w:gridCol w:w="1186"/>
        <w:gridCol w:w="675"/>
      </w:tblGrid>
      <w:tr w14:paraId="12D5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nil"/>
              <w:left w:val="nil"/>
              <w:bottom w:val="nil"/>
              <w:right w:val="nil"/>
            </w:tcBorders>
            <w:shd w:val="clear"/>
            <w:vAlign w:val="center"/>
          </w:tcPr>
          <w:p w14:paraId="3E847AFB">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bdr w:val="none" w:color="auto" w:sz="0" w:space="0"/>
                <w:lang w:val="en-US" w:eastAsia="zh-CN" w:bidi="ar"/>
              </w:rPr>
              <w:t>附件</w:t>
            </w:r>
          </w:p>
        </w:tc>
        <w:tc>
          <w:tcPr>
            <w:tcW w:w="517" w:type="pct"/>
            <w:tcBorders>
              <w:top w:val="nil"/>
              <w:left w:val="nil"/>
              <w:bottom w:val="nil"/>
              <w:right w:val="nil"/>
            </w:tcBorders>
            <w:shd w:val="clear"/>
            <w:noWrap/>
            <w:vAlign w:val="center"/>
          </w:tcPr>
          <w:p w14:paraId="50C46D25">
            <w:pPr>
              <w:jc w:val="cente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4DFF9621">
            <w:pPr>
              <w:jc w:val="cente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4BFA78BE">
            <w:pPr>
              <w:jc w:val="cente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36E7E9A2">
            <w:pPr>
              <w:jc w:val="center"/>
              <w:rPr>
                <w:rFonts w:hint="eastAsia" w:ascii="宋体" w:hAnsi="宋体" w:eastAsia="宋体" w:cs="宋体"/>
                <w:i w:val="0"/>
                <w:iCs w:val="0"/>
                <w:color w:val="000000"/>
                <w:sz w:val="22"/>
                <w:szCs w:val="22"/>
                <w:u w:val="none"/>
              </w:rPr>
            </w:pPr>
          </w:p>
        </w:tc>
        <w:tc>
          <w:tcPr>
            <w:tcW w:w="696" w:type="pct"/>
            <w:tcBorders>
              <w:top w:val="nil"/>
              <w:left w:val="nil"/>
              <w:bottom w:val="nil"/>
              <w:right w:val="nil"/>
            </w:tcBorders>
            <w:shd w:val="clear"/>
            <w:noWrap/>
            <w:vAlign w:val="center"/>
          </w:tcPr>
          <w:p w14:paraId="55F75396">
            <w:pPr>
              <w:jc w:val="center"/>
              <w:rPr>
                <w:rFonts w:hint="eastAsia" w:ascii="宋体" w:hAnsi="宋体" w:eastAsia="宋体" w:cs="宋体"/>
                <w:i w:val="0"/>
                <w:iCs w:val="0"/>
                <w:color w:val="000000"/>
                <w:sz w:val="22"/>
                <w:szCs w:val="22"/>
                <w:u w:val="none"/>
              </w:rPr>
            </w:pPr>
          </w:p>
        </w:tc>
        <w:tc>
          <w:tcPr>
            <w:tcW w:w="696" w:type="pct"/>
            <w:tcBorders>
              <w:top w:val="nil"/>
              <w:left w:val="nil"/>
              <w:bottom w:val="nil"/>
              <w:right w:val="nil"/>
            </w:tcBorders>
            <w:shd w:val="clear"/>
            <w:noWrap/>
            <w:vAlign w:val="center"/>
          </w:tcPr>
          <w:p w14:paraId="734021BD">
            <w:pPr>
              <w:jc w:val="center"/>
              <w:rPr>
                <w:rFonts w:hint="eastAsia" w:ascii="宋体" w:hAnsi="宋体" w:eastAsia="宋体" w:cs="宋体"/>
                <w:i w:val="0"/>
                <w:iCs w:val="0"/>
                <w:color w:val="000000"/>
                <w:sz w:val="22"/>
                <w:szCs w:val="22"/>
                <w:u w:val="none"/>
              </w:rPr>
            </w:pPr>
          </w:p>
        </w:tc>
        <w:tc>
          <w:tcPr>
            <w:tcW w:w="392" w:type="pct"/>
            <w:tcBorders>
              <w:top w:val="nil"/>
              <w:left w:val="nil"/>
              <w:bottom w:val="nil"/>
              <w:right w:val="nil"/>
            </w:tcBorders>
            <w:shd w:val="clear"/>
            <w:noWrap/>
            <w:vAlign w:val="center"/>
          </w:tcPr>
          <w:p w14:paraId="2E684F07">
            <w:pPr>
              <w:jc w:val="center"/>
              <w:rPr>
                <w:rFonts w:hint="eastAsia" w:ascii="宋体" w:hAnsi="宋体" w:eastAsia="宋体" w:cs="宋体"/>
                <w:i w:val="0"/>
                <w:iCs w:val="0"/>
                <w:color w:val="000000"/>
                <w:sz w:val="22"/>
                <w:szCs w:val="22"/>
                <w:u w:val="none"/>
              </w:rPr>
            </w:pPr>
          </w:p>
        </w:tc>
      </w:tr>
      <w:tr w14:paraId="7638E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70" w:hRule="atLeast"/>
        </w:trPr>
        <w:tc>
          <w:tcPr>
            <w:tcW w:w="5000" w:type="pct"/>
            <w:gridSpan w:val="8"/>
            <w:tcBorders>
              <w:top w:val="nil"/>
              <w:left w:val="nil"/>
              <w:bottom w:val="nil"/>
              <w:right w:val="nil"/>
            </w:tcBorders>
            <w:shd w:val="clear"/>
            <w:vAlign w:val="center"/>
          </w:tcPr>
          <w:p w14:paraId="0932009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bdr w:val="none" w:color="auto" w:sz="0" w:space="0"/>
                <w:lang w:val="en-US" w:eastAsia="zh-CN" w:bidi="ar"/>
              </w:rPr>
              <w:t>2026年中央财政常态化帮扶资金（第二批）分配表</w:t>
            </w:r>
          </w:p>
        </w:tc>
      </w:tr>
      <w:tr w14:paraId="50419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0" w:hRule="atLeast"/>
        </w:trPr>
        <w:tc>
          <w:tcPr>
            <w:tcW w:w="610" w:type="pct"/>
            <w:tcBorders>
              <w:top w:val="nil"/>
              <w:left w:val="nil"/>
              <w:bottom w:val="nil"/>
              <w:right w:val="nil"/>
            </w:tcBorders>
            <w:shd w:val="clear"/>
            <w:vAlign w:val="center"/>
          </w:tcPr>
          <w:p w14:paraId="723B8CCD">
            <w:pPr>
              <w:jc w:val="center"/>
              <w:rPr>
                <w:rFonts w:hint="eastAsia" w:ascii="宋体" w:hAnsi="宋体" w:eastAsia="宋体" w:cs="宋体"/>
                <w:i w:val="0"/>
                <w:iCs w:val="0"/>
                <w:color w:val="000000"/>
                <w:sz w:val="22"/>
                <w:szCs w:val="22"/>
                <w:u w:val="none"/>
              </w:rPr>
            </w:pPr>
          </w:p>
        </w:tc>
        <w:tc>
          <w:tcPr>
            <w:tcW w:w="517" w:type="pct"/>
            <w:tcBorders>
              <w:top w:val="nil"/>
              <w:left w:val="nil"/>
              <w:bottom w:val="nil"/>
              <w:right w:val="nil"/>
            </w:tcBorders>
            <w:shd w:val="clear"/>
            <w:noWrap/>
            <w:vAlign w:val="center"/>
          </w:tcPr>
          <w:p w14:paraId="51AD2041">
            <w:pPr>
              <w:jc w:val="cente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0218E307">
            <w:pPr>
              <w:jc w:val="cente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49A7305B">
            <w:pPr>
              <w:rPr>
                <w:rFonts w:hint="eastAsia" w:ascii="宋体" w:hAnsi="宋体" w:eastAsia="宋体" w:cs="宋体"/>
                <w:i w:val="0"/>
                <w:iCs w:val="0"/>
                <w:color w:val="000000"/>
                <w:sz w:val="22"/>
                <w:szCs w:val="22"/>
                <w:u w:val="none"/>
              </w:rPr>
            </w:pPr>
          </w:p>
        </w:tc>
        <w:tc>
          <w:tcPr>
            <w:tcW w:w="695" w:type="pct"/>
            <w:tcBorders>
              <w:top w:val="nil"/>
              <w:left w:val="nil"/>
              <w:bottom w:val="nil"/>
              <w:right w:val="nil"/>
            </w:tcBorders>
            <w:shd w:val="clear"/>
            <w:noWrap/>
            <w:vAlign w:val="center"/>
          </w:tcPr>
          <w:p w14:paraId="4B4D670D">
            <w:pPr>
              <w:rPr>
                <w:rFonts w:hint="eastAsia" w:ascii="宋体" w:hAnsi="宋体" w:eastAsia="宋体" w:cs="宋体"/>
                <w:i w:val="0"/>
                <w:iCs w:val="0"/>
                <w:color w:val="000000"/>
                <w:sz w:val="22"/>
                <w:szCs w:val="22"/>
                <w:u w:val="none"/>
              </w:rPr>
            </w:pPr>
          </w:p>
        </w:tc>
        <w:tc>
          <w:tcPr>
            <w:tcW w:w="696" w:type="pct"/>
            <w:tcBorders>
              <w:top w:val="nil"/>
              <w:left w:val="nil"/>
              <w:bottom w:val="nil"/>
              <w:right w:val="nil"/>
            </w:tcBorders>
            <w:shd w:val="clear"/>
            <w:noWrap/>
            <w:vAlign w:val="center"/>
          </w:tcPr>
          <w:p w14:paraId="1515B513">
            <w:pPr>
              <w:rPr>
                <w:rFonts w:hint="eastAsia" w:ascii="宋体" w:hAnsi="宋体" w:eastAsia="宋体" w:cs="宋体"/>
                <w:i w:val="0"/>
                <w:iCs w:val="0"/>
                <w:color w:val="000000"/>
                <w:sz w:val="22"/>
                <w:szCs w:val="22"/>
                <w:u w:val="none"/>
              </w:rPr>
            </w:pPr>
          </w:p>
        </w:tc>
        <w:tc>
          <w:tcPr>
            <w:tcW w:w="1088" w:type="pct"/>
            <w:gridSpan w:val="2"/>
            <w:tcBorders>
              <w:top w:val="nil"/>
              <w:left w:val="nil"/>
              <w:bottom w:val="nil"/>
              <w:right w:val="nil"/>
            </w:tcBorders>
            <w:shd w:val="clear"/>
            <w:noWrap/>
            <w:vAlign w:val="center"/>
          </w:tcPr>
          <w:p w14:paraId="58444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单位：万元</w:t>
            </w:r>
          </w:p>
        </w:tc>
      </w:tr>
      <w:tr w14:paraId="5E99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single" w:color="000000" w:sz="4" w:space="0"/>
              <w:left w:val="single" w:color="000000" w:sz="4" w:space="0"/>
              <w:bottom w:val="single" w:color="000000" w:sz="4" w:space="0"/>
              <w:right w:val="single" w:color="000000" w:sz="4" w:space="0"/>
            </w:tcBorders>
            <w:shd w:val="clear"/>
            <w:vAlign w:val="center"/>
          </w:tcPr>
          <w:p w14:paraId="7313D2E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地区</w:t>
            </w:r>
          </w:p>
        </w:tc>
        <w:tc>
          <w:tcPr>
            <w:tcW w:w="517" w:type="pct"/>
            <w:tcBorders>
              <w:top w:val="single" w:color="000000" w:sz="4" w:space="0"/>
              <w:left w:val="single" w:color="000000" w:sz="4" w:space="0"/>
              <w:bottom w:val="single" w:color="000000" w:sz="4" w:space="0"/>
              <w:right w:val="single" w:color="000000" w:sz="4" w:space="0"/>
            </w:tcBorders>
            <w:shd w:val="clear"/>
            <w:vAlign w:val="center"/>
          </w:tcPr>
          <w:p w14:paraId="588BF78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小计</w:t>
            </w:r>
          </w:p>
        </w:tc>
        <w:tc>
          <w:tcPr>
            <w:tcW w:w="695" w:type="pct"/>
            <w:tcBorders>
              <w:top w:val="single" w:color="000000" w:sz="4" w:space="0"/>
              <w:left w:val="nil"/>
              <w:bottom w:val="nil"/>
              <w:right w:val="single" w:color="000000" w:sz="4" w:space="0"/>
            </w:tcBorders>
            <w:shd w:val="clear"/>
            <w:vAlign w:val="center"/>
          </w:tcPr>
          <w:p w14:paraId="30CA997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开发式帮扶任务</w:t>
            </w:r>
          </w:p>
        </w:tc>
        <w:tc>
          <w:tcPr>
            <w:tcW w:w="695" w:type="pct"/>
            <w:tcBorders>
              <w:top w:val="single" w:color="000000" w:sz="4" w:space="0"/>
              <w:left w:val="single" w:color="000000" w:sz="4" w:space="0"/>
              <w:bottom w:val="single" w:color="000000" w:sz="4" w:space="0"/>
              <w:right w:val="single" w:color="000000" w:sz="4" w:space="0"/>
            </w:tcBorders>
            <w:shd w:val="clear"/>
            <w:vAlign w:val="center"/>
          </w:tcPr>
          <w:p w14:paraId="3DC066C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易地搬迁后续扶持任务</w:t>
            </w:r>
          </w:p>
        </w:tc>
        <w:tc>
          <w:tcPr>
            <w:tcW w:w="695" w:type="pct"/>
            <w:tcBorders>
              <w:top w:val="single" w:color="000000" w:sz="4" w:space="0"/>
              <w:left w:val="single" w:color="000000" w:sz="4" w:space="0"/>
              <w:bottom w:val="single" w:color="000000" w:sz="4" w:space="0"/>
              <w:right w:val="single" w:color="000000" w:sz="4" w:space="0"/>
            </w:tcBorders>
            <w:shd w:val="clear"/>
            <w:vAlign w:val="center"/>
          </w:tcPr>
          <w:p w14:paraId="0BC70D9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以工代赈任务</w:t>
            </w:r>
          </w:p>
        </w:tc>
        <w:tc>
          <w:tcPr>
            <w:tcW w:w="696" w:type="pct"/>
            <w:tcBorders>
              <w:top w:val="single" w:color="000000" w:sz="4" w:space="0"/>
              <w:left w:val="single" w:color="000000" w:sz="4" w:space="0"/>
              <w:bottom w:val="single" w:color="000000" w:sz="4" w:space="0"/>
              <w:right w:val="single" w:color="000000" w:sz="4" w:space="0"/>
            </w:tcBorders>
            <w:shd w:val="clear"/>
            <w:vAlign w:val="center"/>
          </w:tcPr>
          <w:p w14:paraId="28FEFC9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少数民族发展任务</w:t>
            </w:r>
          </w:p>
        </w:tc>
        <w:tc>
          <w:tcPr>
            <w:tcW w:w="696" w:type="pct"/>
            <w:tcBorders>
              <w:top w:val="single" w:color="000000" w:sz="4" w:space="0"/>
              <w:left w:val="single" w:color="000000" w:sz="4" w:space="0"/>
              <w:bottom w:val="single" w:color="000000" w:sz="4" w:space="0"/>
              <w:right w:val="single" w:color="000000" w:sz="4" w:space="0"/>
            </w:tcBorders>
            <w:shd w:val="clear"/>
            <w:vAlign w:val="center"/>
          </w:tcPr>
          <w:p w14:paraId="74DA608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欠发达国有农场巩固提升任务</w:t>
            </w:r>
          </w:p>
        </w:tc>
        <w:tc>
          <w:tcPr>
            <w:tcW w:w="392" w:type="pct"/>
            <w:tcBorders>
              <w:top w:val="single" w:color="000000" w:sz="4" w:space="0"/>
              <w:left w:val="single" w:color="000000" w:sz="4" w:space="0"/>
              <w:bottom w:val="single" w:color="000000" w:sz="4" w:space="0"/>
              <w:right w:val="single" w:color="000000" w:sz="4" w:space="0"/>
            </w:tcBorders>
            <w:shd w:val="clear"/>
            <w:noWrap/>
            <w:vAlign w:val="center"/>
          </w:tcPr>
          <w:p w14:paraId="60C291A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备注</w:t>
            </w:r>
          </w:p>
        </w:tc>
      </w:tr>
      <w:tr w14:paraId="1989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single" w:color="000000" w:sz="4" w:space="0"/>
              <w:left w:val="single" w:color="000000" w:sz="4" w:space="0"/>
              <w:bottom w:val="single" w:color="000000" w:sz="4" w:space="0"/>
              <w:right w:val="single" w:color="000000" w:sz="4" w:space="0"/>
            </w:tcBorders>
            <w:shd w:val="clear"/>
            <w:vAlign w:val="center"/>
          </w:tcPr>
          <w:p w14:paraId="4A0E66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乌海市</w:t>
            </w:r>
          </w:p>
        </w:tc>
        <w:tc>
          <w:tcPr>
            <w:tcW w:w="517" w:type="pct"/>
            <w:tcBorders>
              <w:top w:val="single" w:color="000000" w:sz="4" w:space="0"/>
              <w:left w:val="single" w:color="000000" w:sz="4" w:space="0"/>
              <w:bottom w:val="single" w:color="000000" w:sz="4" w:space="0"/>
              <w:right w:val="single" w:color="000000" w:sz="4" w:space="0"/>
            </w:tcBorders>
            <w:shd w:val="clear"/>
            <w:noWrap/>
            <w:vAlign w:val="center"/>
          </w:tcPr>
          <w:p w14:paraId="3CEED8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400 </w:t>
            </w: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3065F065">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325A9035">
            <w:pPr>
              <w:jc w:val="center"/>
              <w:rPr>
                <w:rFonts w:hint="eastAsia" w:ascii="宋体" w:hAnsi="宋体" w:eastAsia="宋体" w:cs="宋体"/>
                <w:b/>
                <w:bCs/>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152517A5">
            <w:pPr>
              <w:jc w:val="center"/>
              <w:rPr>
                <w:rFonts w:hint="eastAsia" w:ascii="宋体" w:hAnsi="宋体" w:eastAsia="宋体" w:cs="宋体"/>
                <w:b/>
                <w:bCs/>
                <w:i w:val="0"/>
                <w:iCs w:val="0"/>
                <w:color w:val="FF0000"/>
                <w:sz w:val="22"/>
                <w:szCs w:val="22"/>
                <w:u w:val="none"/>
              </w:rPr>
            </w:pP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93E3C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400 </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09FF9CE">
            <w:pPr>
              <w:jc w:val="center"/>
              <w:rPr>
                <w:rFonts w:hint="eastAsia" w:ascii="宋体" w:hAnsi="宋体" w:eastAsia="宋体" w:cs="宋体"/>
                <w:b/>
                <w:bCs/>
                <w:i w:val="0"/>
                <w:iCs w:val="0"/>
                <w:color w:val="FF0000"/>
                <w:sz w:val="22"/>
                <w:szCs w:val="22"/>
                <w:u w:val="none"/>
              </w:rPr>
            </w:pPr>
          </w:p>
        </w:tc>
        <w:tc>
          <w:tcPr>
            <w:tcW w:w="392" w:type="pct"/>
            <w:tcBorders>
              <w:top w:val="single" w:color="000000" w:sz="4" w:space="0"/>
              <w:left w:val="single" w:color="000000" w:sz="4" w:space="0"/>
              <w:bottom w:val="single" w:color="000000" w:sz="4" w:space="0"/>
              <w:right w:val="single" w:color="000000" w:sz="4" w:space="0"/>
            </w:tcBorders>
            <w:shd w:val="clear"/>
            <w:noWrap/>
            <w:vAlign w:val="center"/>
          </w:tcPr>
          <w:p w14:paraId="5CA0C076">
            <w:pPr>
              <w:jc w:val="center"/>
              <w:rPr>
                <w:rFonts w:hint="eastAsia" w:ascii="宋体" w:hAnsi="宋体" w:eastAsia="宋体" w:cs="宋体"/>
                <w:i w:val="0"/>
                <w:iCs w:val="0"/>
                <w:color w:val="FF0000"/>
                <w:sz w:val="22"/>
                <w:szCs w:val="22"/>
                <w:u w:val="none"/>
              </w:rPr>
            </w:pPr>
          </w:p>
        </w:tc>
      </w:tr>
      <w:tr w14:paraId="2E95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single" w:color="000000" w:sz="4" w:space="0"/>
              <w:left w:val="single" w:color="000000" w:sz="4" w:space="0"/>
              <w:bottom w:val="single" w:color="000000" w:sz="4" w:space="0"/>
              <w:right w:val="single" w:color="000000" w:sz="4" w:space="0"/>
            </w:tcBorders>
            <w:shd w:val="clear"/>
            <w:vAlign w:val="center"/>
          </w:tcPr>
          <w:p w14:paraId="09620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海勃湾区</w:t>
            </w:r>
          </w:p>
        </w:tc>
        <w:tc>
          <w:tcPr>
            <w:tcW w:w="517" w:type="pct"/>
            <w:tcBorders>
              <w:top w:val="single" w:color="000000" w:sz="4" w:space="0"/>
              <w:left w:val="single" w:color="000000" w:sz="4" w:space="0"/>
              <w:bottom w:val="single" w:color="000000" w:sz="4" w:space="0"/>
              <w:right w:val="single" w:color="000000" w:sz="4" w:space="0"/>
            </w:tcBorders>
            <w:shd w:val="clear"/>
            <w:noWrap/>
            <w:vAlign w:val="center"/>
          </w:tcPr>
          <w:p w14:paraId="575FF0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158 </w:t>
            </w: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1F84127C">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6CF0B43A">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5DE013A0">
            <w:pPr>
              <w:jc w:val="center"/>
              <w:rPr>
                <w:rFonts w:hint="eastAsia" w:ascii="宋体" w:hAnsi="宋体" w:eastAsia="宋体" w:cs="宋体"/>
                <w:i w:val="0"/>
                <w:iCs w:val="0"/>
                <w:color w:val="FF0000"/>
                <w:sz w:val="22"/>
                <w:szCs w:val="22"/>
                <w:u w:val="none"/>
              </w:rPr>
            </w:pPr>
          </w:p>
        </w:tc>
        <w:tc>
          <w:tcPr>
            <w:tcW w:w="696" w:type="pct"/>
            <w:tcBorders>
              <w:top w:val="single" w:color="000000" w:sz="4" w:space="0"/>
              <w:left w:val="single" w:color="000000" w:sz="4" w:space="0"/>
              <w:bottom w:val="single" w:color="000000" w:sz="4" w:space="0"/>
              <w:right w:val="single" w:color="000000" w:sz="4" w:space="0"/>
            </w:tcBorders>
            <w:shd w:val="clear"/>
            <w:vAlign w:val="center"/>
          </w:tcPr>
          <w:p w14:paraId="1164B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158 </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FE04E67">
            <w:pPr>
              <w:jc w:val="center"/>
              <w:rPr>
                <w:rFonts w:hint="eastAsia" w:ascii="宋体" w:hAnsi="宋体" w:eastAsia="宋体" w:cs="宋体"/>
                <w:i w:val="0"/>
                <w:iCs w:val="0"/>
                <w:color w:val="FF0000"/>
                <w:sz w:val="22"/>
                <w:szCs w:val="22"/>
                <w:u w:val="none"/>
              </w:rPr>
            </w:pPr>
          </w:p>
        </w:tc>
        <w:tc>
          <w:tcPr>
            <w:tcW w:w="392" w:type="pct"/>
            <w:tcBorders>
              <w:top w:val="single" w:color="000000" w:sz="4" w:space="0"/>
              <w:left w:val="single" w:color="000000" w:sz="4" w:space="0"/>
              <w:bottom w:val="single" w:color="000000" w:sz="4" w:space="0"/>
              <w:right w:val="single" w:color="000000" w:sz="4" w:space="0"/>
            </w:tcBorders>
            <w:shd w:val="clear"/>
            <w:noWrap/>
            <w:vAlign w:val="center"/>
          </w:tcPr>
          <w:p w14:paraId="136BC41A">
            <w:pPr>
              <w:jc w:val="center"/>
              <w:rPr>
                <w:rFonts w:hint="eastAsia" w:ascii="宋体" w:hAnsi="宋体" w:eastAsia="宋体" w:cs="宋体"/>
                <w:i w:val="0"/>
                <w:iCs w:val="0"/>
                <w:color w:val="FF0000"/>
                <w:sz w:val="22"/>
                <w:szCs w:val="22"/>
                <w:u w:val="none"/>
              </w:rPr>
            </w:pPr>
          </w:p>
        </w:tc>
      </w:tr>
      <w:tr w14:paraId="0E4B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single" w:color="000000" w:sz="4" w:space="0"/>
              <w:left w:val="single" w:color="000000" w:sz="4" w:space="0"/>
              <w:bottom w:val="single" w:color="000000" w:sz="4" w:space="0"/>
              <w:right w:val="single" w:color="000000" w:sz="4" w:space="0"/>
            </w:tcBorders>
            <w:shd w:val="clear"/>
            <w:vAlign w:val="center"/>
          </w:tcPr>
          <w:p w14:paraId="536D8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海南区</w:t>
            </w:r>
          </w:p>
        </w:tc>
        <w:tc>
          <w:tcPr>
            <w:tcW w:w="517" w:type="pct"/>
            <w:tcBorders>
              <w:top w:val="single" w:color="000000" w:sz="4" w:space="0"/>
              <w:left w:val="single" w:color="000000" w:sz="4" w:space="0"/>
              <w:bottom w:val="single" w:color="000000" w:sz="4" w:space="0"/>
              <w:right w:val="single" w:color="000000" w:sz="4" w:space="0"/>
            </w:tcBorders>
            <w:shd w:val="clear"/>
            <w:noWrap/>
            <w:vAlign w:val="center"/>
          </w:tcPr>
          <w:p w14:paraId="49FA8A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146 </w:t>
            </w: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18F1B0FF">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503EB90F">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5400C0B8">
            <w:pPr>
              <w:jc w:val="center"/>
              <w:rPr>
                <w:rFonts w:hint="eastAsia" w:ascii="宋体" w:hAnsi="宋体" w:eastAsia="宋体" w:cs="宋体"/>
                <w:i w:val="0"/>
                <w:iCs w:val="0"/>
                <w:color w:val="FF0000"/>
                <w:sz w:val="22"/>
                <w:szCs w:val="22"/>
                <w:u w:val="none"/>
              </w:rPr>
            </w:pPr>
          </w:p>
        </w:tc>
        <w:tc>
          <w:tcPr>
            <w:tcW w:w="696" w:type="pct"/>
            <w:tcBorders>
              <w:top w:val="single" w:color="000000" w:sz="4" w:space="0"/>
              <w:left w:val="single" w:color="000000" w:sz="4" w:space="0"/>
              <w:bottom w:val="single" w:color="000000" w:sz="4" w:space="0"/>
              <w:right w:val="single" w:color="000000" w:sz="4" w:space="0"/>
            </w:tcBorders>
            <w:shd w:val="clear"/>
            <w:vAlign w:val="center"/>
          </w:tcPr>
          <w:p w14:paraId="7369C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146 </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8D50042">
            <w:pPr>
              <w:jc w:val="center"/>
              <w:rPr>
                <w:rFonts w:hint="eastAsia" w:ascii="宋体" w:hAnsi="宋体" w:eastAsia="宋体" w:cs="宋体"/>
                <w:i w:val="0"/>
                <w:iCs w:val="0"/>
                <w:color w:val="FF0000"/>
                <w:sz w:val="22"/>
                <w:szCs w:val="22"/>
                <w:u w:val="none"/>
              </w:rPr>
            </w:pPr>
          </w:p>
        </w:tc>
        <w:tc>
          <w:tcPr>
            <w:tcW w:w="392" w:type="pct"/>
            <w:tcBorders>
              <w:top w:val="single" w:color="000000" w:sz="4" w:space="0"/>
              <w:left w:val="single" w:color="000000" w:sz="4" w:space="0"/>
              <w:bottom w:val="single" w:color="000000" w:sz="4" w:space="0"/>
              <w:right w:val="single" w:color="000000" w:sz="4" w:space="0"/>
            </w:tcBorders>
            <w:shd w:val="clear"/>
            <w:noWrap/>
            <w:vAlign w:val="center"/>
          </w:tcPr>
          <w:p w14:paraId="6935F154">
            <w:pPr>
              <w:jc w:val="center"/>
              <w:rPr>
                <w:rFonts w:hint="eastAsia" w:ascii="宋体" w:hAnsi="宋体" w:eastAsia="宋体" w:cs="宋体"/>
                <w:i w:val="0"/>
                <w:iCs w:val="0"/>
                <w:color w:val="FF0000"/>
                <w:sz w:val="22"/>
                <w:szCs w:val="22"/>
                <w:u w:val="none"/>
              </w:rPr>
            </w:pPr>
          </w:p>
        </w:tc>
      </w:tr>
      <w:tr w14:paraId="3A72E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610" w:type="pct"/>
            <w:tcBorders>
              <w:top w:val="single" w:color="000000" w:sz="4" w:space="0"/>
              <w:left w:val="single" w:color="000000" w:sz="4" w:space="0"/>
              <w:bottom w:val="single" w:color="000000" w:sz="4" w:space="0"/>
              <w:right w:val="single" w:color="000000" w:sz="4" w:space="0"/>
            </w:tcBorders>
            <w:shd w:val="clear"/>
            <w:vAlign w:val="center"/>
          </w:tcPr>
          <w:p w14:paraId="236D8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乌达区</w:t>
            </w:r>
          </w:p>
        </w:tc>
        <w:tc>
          <w:tcPr>
            <w:tcW w:w="517" w:type="pct"/>
            <w:tcBorders>
              <w:top w:val="single" w:color="000000" w:sz="4" w:space="0"/>
              <w:left w:val="single" w:color="000000" w:sz="4" w:space="0"/>
              <w:bottom w:val="single" w:color="000000" w:sz="4" w:space="0"/>
              <w:right w:val="single" w:color="000000" w:sz="4" w:space="0"/>
            </w:tcBorders>
            <w:shd w:val="clear"/>
            <w:noWrap/>
            <w:vAlign w:val="center"/>
          </w:tcPr>
          <w:p w14:paraId="4E7A9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96 </w:t>
            </w: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1B6F8431">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3DF69451">
            <w:pPr>
              <w:jc w:val="center"/>
              <w:rPr>
                <w:rFonts w:hint="eastAsia" w:ascii="宋体" w:hAnsi="宋体" w:eastAsia="宋体" w:cs="宋体"/>
                <w:i w:val="0"/>
                <w:iCs w:val="0"/>
                <w:color w:val="FF0000"/>
                <w:sz w:val="22"/>
                <w:szCs w:val="22"/>
                <w:u w:val="none"/>
              </w:rPr>
            </w:pPr>
          </w:p>
        </w:tc>
        <w:tc>
          <w:tcPr>
            <w:tcW w:w="695" w:type="pct"/>
            <w:tcBorders>
              <w:top w:val="single" w:color="000000" w:sz="4" w:space="0"/>
              <w:left w:val="single" w:color="000000" w:sz="4" w:space="0"/>
              <w:bottom w:val="single" w:color="000000" w:sz="4" w:space="0"/>
              <w:right w:val="single" w:color="000000" w:sz="4" w:space="0"/>
            </w:tcBorders>
            <w:shd w:val="clear"/>
            <w:noWrap/>
            <w:vAlign w:val="center"/>
          </w:tcPr>
          <w:p w14:paraId="5EDD4C01">
            <w:pPr>
              <w:jc w:val="center"/>
              <w:rPr>
                <w:rFonts w:hint="eastAsia" w:ascii="宋体" w:hAnsi="宋体" w:eastAsia="宋体" w:cs="宋体"/>
                <w:i w:val="0"/>
                <w:iCs w:val="0"/>
                <w:color w:val="FF0000"/>
                <w:sz w:val="22"/>
                <w:szCs w:val="22"/>
                <w:u w:val="none"/>
              </w:rPr>
            </w:pPr>
          </w:p>
        </w:tc>
        <w:tc>
          <w:tcPr>
            <w:tcW w:w="696" w:type="pct"/>
            <w:tcBorders>
              <w:top w:val="single" w:color="000000" w:sz="4" w:space="0"/>
              <w:left w:val="single" w:color="000000" w:sz="4" w:space="0"/>
              <w:bottom w:val="single" w:color="000000" w:sz="4" w:space="0"/>
              <w:right w:val="single" w:color="000000" w:sz="4" w:space="0"/>
            </w:tcBorders>
            <w:shd w:val="clear"/>
            <w:vAlign w:val="center"/>
          </w:tcPr>
          <w:p w14:paraId="083F5E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96 </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05BA9FEC">
            <w:pPr>
              <w:jc w:val="center"/>
              <w:rPr>
                <w:rFonts w:hint="eastAsia" w:ascii="宋体" w:hAnsi="宋体" w:eastAsia="宋体" w:cs="宋体"/>
                <w:i w:val="0"/>
                <w:iCs w:val="0"/>
                <w:color w:val="FF0000"/>
                <w:sz w:val="22"/>
                <w:szCs w:val="22"/>
                <w:u w:val="none"/>
              </w:rPr>
            </w:pPr>
          </w:p>
        </w:tc>
        <w:tc>
          <w:tcPr>
            <w:tcW w:w="392" w:type="pct"/>
            <w:tcBorders>
              <w:top w:val="single" w:color="000000" w:sz="4" w:space="0"/>
              <w:left w:val="single" w:color="000000" w:sz="4" w:space="0"/>
              <w:bottom w:val="single" w:color="000000" w:sz="4" w:space="0"/>
              <w:right w:val="single" w:color="000000" w:sz="4" w:space="0"/>
            </w:tcBorders>
            <w:shd w:val="clear"/>
            <w:noWrap/>
            <w:vAlign w:val="center"/>
          </w:tcPr>
          <w:p w14:paraId="6B5ED4ED">
            <w:pPr>
              <w:jc w:val="center"/>
              <w:rPr>
                <w:rFonts w:hint="eastAsia" w:ascii="宋体" w:hAnsi="宋体" w:eastAsia="宋体" w:cs="宋体"/>
                <w:i w:val="0"/>
                <w:iCs w:val="0"/>
                <w:color w:val="FF0000"/>
                <w:sz w:val="22"/>
                <w:szCs w:val="22"/>
                <w:u w:val="none"/>
              </w:rPr>
            </w:pPr>
          </w:p>
        </w:tc>
      </w:tr>
    </w:tbl>
    <w:p w14:paraId="4F0E15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1532EF"/>
    <w:rsid w:val="3D153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73</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2026-05-09T12:04:00Z</dcterms:created>
  <dc:creator>全永胜</dc:creator>
  <cp:lastModifiedBy>全永胜</cp:lastModifiedBy>
  <cp:lastPrinted>2026-05-09T13:13:51Z</cp:lastPrinted>
  <dcterms:modified xsi:type="dcterms:W3CDTF">2026-05-09T13:17:54Z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1621C80CA7F1473B9188851194E95BEE_11</vt:lpwstr>
  </property>
</Properties>
</file>