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乌海市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年地方政府债务情况说明</w:t>
      </w:r>
    </w:p>
    <w:p>
      <w:pPr>
        <w:spacing w:line="360" w:lineRule="auto"/>
        <w:jc w:val="both"/>
        <w:rPr>
          <w:rFonts w:ascii="Times New Roman" w:hAnsi="Times New Roman" w:eastAsia="黑体"/>
          <w:sz w:val="24"/>
        </w:rPr>
      </w:pPr>
    </w:p>
    <w:p>
      <w:pPr>
        <w:spacing w:line="360" w:lineRule="auto"/>
        <w:ind w:firstLine="640" w:firstLineChars="200"/>
        <w:jc w:val="both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一、全</w:t>
      </w:r>
      <w:r>
        <w:rPr>
          <w:rFonts w:hint="eastAsia" w:eastAsia="黑体"/>
          <w:sz w:val="32"/>
          <w:szCs w:val="32"/>
          <w:lang w:val="en-US" w:eastAsia="zh-CN"/>
        </w:rPr>
        <w:t>市</w:t>
      </w:r>
      <w:r>
        <w:rPr>
          <w:rFonts w:hint="eastAsia" w:ascii="Times New Roman" w:hAnsi="Times New Roman" w:eastAsia="黑体"/>
          <w:sz w:val="32"/>
          <w:szCs w:val="32"/>
        </w:rPr>
        <w:t>政府债务有关情况</w:t>
      </w:r>
    </w:p>
    <w:p>
      <w:pPr>
        <w:spacing w:line="360" w:lineRule="auto"/>
        <w:ind w:firstLine="629" w:firstLineChars="196"/>
        <w:jc w:val="both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  <w:highlight w:val="none"/>
        </w:rPr>
        <w:t>（一）全</w:t>
      </w:r>
      <w:r>
        <w:rPr>
          <w:rFonts w:hint="eastAsia" w:eastAsia="楷体_GB2312" w:cs="楷体_GB2312"/>
          <w:b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楷体_GB2312" w:cs="楷体_GB2312"/>
          <w:b/>
          <w:sz w:val="32"/>
          <w:szCs w:val="32"/>
          <w:highlight w:val="none"/>
        </w:rPr>
        <w:t>政府债务限额情况。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自治区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下达我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市</w:t>
      </w:r>
      <w:r>
        <w:rPr>
          <w:rFonts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年地方政府债务限额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366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其中：地方政府一般债务限额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212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亿元，地方政府专项债务限额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154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亿元。</w:t>
      </w:r>
    </w:p>
    <w:p>
      <w:pPr>
        <w:spacing w:line="360" w:lineRule="auto"/>
        <w:ind w:firstLine="642" w:firstLineChars="200"/>
        <w:jc w:val="both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  <w:highlight w:val="none"/>
        </w:rPr>
        <w:t>（二）全</w:t>
      </w:r>
      <w:r>
        <w:rPr>
          <w:rFonts w:hint="eastAsia" w:eastAsia="楷体_GB2312" w:cs="楷体_GB2312"/>
          <w:b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楷体_GB2312" w:cs="楷体_GB2312"/>
          <w:b/>
          <w:sz w:val="32"/>
          <w:szCs w:val="32"/>
          <w:highlight w:val="none"/>
        </w:rPr>
        <w:t>政府债务情况。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截至</w:t>
      </w:r>
      <w:r>
        <w:rPr>
          <w:rFonts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年底，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乌海市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政府债务余额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为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320.63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亿元。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  <w:highlight w:val="none"/>
        </w:rPr>
        <w:t>从政府层级看，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市本级、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区级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政府债务分别为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178.42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亿元、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142.21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亿元，分别占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55.6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%、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44.4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  <w:highlight w:val="none"/>
        </w:rPr>
        <w:t>从资金来源看，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发行政府债券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320.63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亿元，占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/>
          <w:b/>
          <w:sz w:val="32"/>
          <w:szCs w:val="32"/>
          <w:highlight w:val="none"/>
        </w:rPr>
        <w:t>从未来偿还情况来看，</w:t>
      </w:r>
      <w:r>
        <w:rPr>
          <w:rFonts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44.37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</w:t>
      </w:r>
      <w:r>
        <w:rPr>
          <w:rFonts w:ascii="Times New Roman" w:hAnsi="Times New Roman" w:eastAsia="仿宋_GB231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年及以后年度为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276.26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亿元。</w:t>
      </w:r>
      <w:r>
        <w:rPr>
          <w:rFonts w:hint="eastAsia" w:ascii="Times New Roman" w:hAnsi="Times New Roman" w:eastAsia="仿宋_GB2312"/>
          <w:b/>
          <w:sz w:val="32"/>
          <w:szCs w:val="32"/>
          <w:highlight w:val="none"/>
        </w:rPr>
        <w:t>从资金投向看，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主要用于市政建设、科教文卫、土地收储、保障性住房、交通运输、农林水利、生态建设和环境保护等项目，较好地保证了地方经济社会发展的资金需要，推动了民生改善和社会事业发展，同时形成了一定规模的优质资产，大多有经营收入作为偿债来源，可在一定程度上保障相关债务的偿还。</w:t>
      </w:r>
    </w:p>
    <w:p>
      <w:pPr>
        <w:pStyle w:val="6"/>
        <w:widowControl/>
        <w:spacing w:before="0" w:beforeAutospacing="0" w:after="0" w:afterAutospacing="0"/>
        <w:ind w:firstLine="642" w:firstLineChars="200"/>
        <w:jc w:val="both"/>
        <w:rPr>
          <w:rFonts w:ascii="Times New Roman" w:hAnsi="Times New Roman" w:eastAsia="仿宋_GB2312"/>
          <w:sz w:val="32"/>
          <w:szCs w:val="32"/>
          <w:highlight w:val="green"/>
        </w:rPr>
      </w:pPr>
      <w:r>
        <w:rPr>
          <w:rFonts w:hint="eastAsia" w:ascii="Times New Roman" w:hAnsi="Times New Roman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  <w:t>（三）</w:t>
      </w:r>
      <w:r>
        <w:rPr>
          <w:rFonts w:hint="eastAsia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  <w:t>乌海市</w:t>
      </w:r>
      <w:r>
        <w:rPr>
          <w:rFonts w:hint="eastAsia" w:ascii="Times New Roman" w:hAnsi="Times New Roman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  <w:t>本级政府债务情况。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截至202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年末，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本级政府债务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178.42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亿元，占全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55.6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%。从资金使用方向上看，主要用于公路、教科文卫、保障性住房、农林水利建设、中小银行风险化解、市政建设等。从资金来源看，地方政府债券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178.42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亿元，占100%。</w:t>
      </w:r>
    </w:p>
    <w:p>
      <w:pPr>
        <w:spacing w:line="360" w:lineRule="auto"/>
        <w:ind w:firstLine="642" w:firstLineChars="200"/>
        <w:jc w:val="both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b/>
          <w:sz w:val="32"/>
          <w:szCs w:val="32"/>
          <w:highlight w:val="none"/>
        </w:rPr>
        <w:t>（四）政府债券发行情况。</w:t>
      </w:r>
      <w:r>
        <w:rPr>
          <w:rFonts w:hint="eastAsia" w:ascii="Times New Roman" w:hAnsi="Times New Roman" w:eastAsia="楷体_GB2312" w:cs="楷体_GB2312"/>
          <w:b w:val="0"/>
          <w:bCs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  <w:highlight w:val="none"/>
        </w:rPr>
        <w:t>02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b w:val="0"/>
          <w:bCs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，全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发行政府债券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49.41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亿元，平均利率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2.28</w:t>
      </w:r>
      <w:r>
        <w:rPr>
          <w:rFonts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，比上年政府债券平均发行利率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个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BP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/>
          <w:b/>
          <w:sz w:val="32"/>
          <w:szCs w:val="32"/>
          <w:highlight w:val="none"/>
        </w:rPr>
        <w:t>从债券类型看，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一般债券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26.08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亿元，占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52.8</w:t>
      </w:r>
      <w:r>
        <w:rPr>
          <w:rFonts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；专项债券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23.33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亿元，占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47.2</w:t>
      </w:r>
      <w:r>
        <w:rPr>
          <w:rFonts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/>
          <w:b/>
          <w:sz w:val="32"/>
          <w:szCs w:val="32"/>
          <w:highlight w:val="none"/>
        </w:rPr>
        <w:t>从债券性质看，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新增政府债券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13.46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亿元，占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27.2</w:t>
      </w:r>
      <w:r>
        <w:rPr>
          <w:rFonts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；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再融资债券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35.95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亿元，占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72.8</w:t>
      </w:r>
      <w:r>
        <w:rPr>
          <w:rFonts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>
      <w:pPr>
        <w:spacing w:line="360" w:lineRule="auto"/>
        <w:ind w:firstLine="640" w:firstLineChars="200"/>
        <w:jc w:val="both"/>
        <w:rPr>
          <w:rFonts w:ascii="Times New Roman" w:hAnsi="Times New Roman" w:eastAsia="黑体"/>
          <w:sz w:val="32"/>
          <w:szCs w:val="32"/>
          <w:highlight w:val="none"/>
        </w:rPr>
      </w:pPr>
      <w:r>
        <w:rPr>
          <w:rFonts w:hint="eastAsia" w:ascii="Times New Roman" w:hAnsi="Times New Roman" w:eastAsia="黑体"/>
          <w:sz w:val="32"/>
          <w:szCs w:val="32"/>
          <w:highlight w:val="none"/>
        </w:rPr>
        <w:t>二、全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市</w:t>
      </w:r>
      <w:r>
        <w:rPr>
          <w:rFonts w:ascii="Times New Roman" w:hAnsi="Times New Roman" w:eastAsia="黑体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黑体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Times New Roman" w:hAnsi="Times New Roman" w:eastAsia="黑体"/>
          <w:sz w:val="32"/>
          <w:szCs w:val="32"/>
          <w:highlight w:val="none"/>
        </w:rPr>
        <w:t>年政府债务管理工作具体措施</w:t>
      </w:r>
    </w:p>
    <w:p>
      <w:pPr>
        <w:ind w:firstLine="642" w:firstLineChars="200"/>
        <w:jc w:val="both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 w:bidi="ar"/>
        </w:rPr>
        <w:t>（一）坚决扛牢化债政治责任。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市委、市政府始终胸怀“国之大者”，牢固树立“发展是政绩、化债也是政绩”理念，从办好习近平总书记交给内蒙古的“五大任务”和全方位建设模范自治区两件大事的高度来把握化债工作，坚持党政同责，压实化债主体责任，坚决把“1+8”化债方案一抓到底。</w:t>
      </w:r>
    </w:p>
    <w:p>
      <w:pPr>
        <w:ind w:firstLine="642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 w:bidi="ar"/>
        </w:rPr>
        <w:t>（二）坚持“真金白银”化债减债。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为支持地方化解隐性债务，国家一次性增加地方政府债务限额6万亿元，帮助地方腾出更多精力和财力空间促发展、保民生。我市积极争取置换债券总额度，为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政府债务化解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注入“源头活水”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，超额完成年度化债任务。</w:t>
      </w:r>
    </w:p>
    <w:p>
      <w:pPr>
        <w:ind w:firstLine="642" w:firstLineChars="200"/>
        <w:jc w:val="both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 w:bidi="ar"/>
        </w:rPr>
        <w:t>（三）坚持提升法定债券管理质效。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债券分配注重保重点。集中财力保障好自治区两件大事，聚焦落实“五大任务”、实施“六个工程”，优先支持在建项目续建，提高资金使用集中度。全年发行新增政府债券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13.46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亿元，其中，发行新增一般债券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9.5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亿元，全力保障“温暖工程”、科教文卫、农林水利、市政基础设施等公益性项目、民生项目建设，有效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发挥债券拉动经济的积极作用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。2024年新增专项债券支出进度100%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分配债券额度时，统筹考虑各地区财力状况、债务风险、项目储备等情况，提高专项债券规模与地方财力、项目收益平衡能力的匹配度。做好专项债券项目融资收益平衡，严格落实专项债券投向领域“负面清单”管理，防止过度包装项目推高还本付息风险。</w:t>
      </w:r>
    </w:p>
    <w:p>
      <w:pPr>
        <w:ind w:firstLine="642" w:firstLineChars="200"/>
        <w:jc w:val="both"/>
        <w:rPr>
          <w:rFonts w:hint="eastAsia" w:ascii="Times New Roman" w:hAnsi="Times New Roman" w:eastAsia="仿宋_GB2312" w:cs="仿宋_GB2312"/>
          <w:spacing w:val="17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 w:bidi="ar"/>
        </w:rPr>
        <w:t>（四）进一步完善政府债务管理制度。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着眼建立化债长效机制。坚持远近结合、堵疏并举、标本兼治</w:t>
      </w:r>
      <w:r>
        <w:rPr>
          <w:rFonts w:hint="eastAsia" w:eastAsia="仿宋_GB2312" w:cs="Times New Roman"/>
          <w:b/>
          <w:bCs/>
          <w:kern w:val="0"/>
          <w:sz w:val="32"/>
          <w:szCs w:val="32"/>
          <w:highlight w:val="none"/>
          <w:lang w:val="en-US" w:eastAsia="zh-CN" w:bidi="ar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进一步严肃化债纪律。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严格落实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“八个不准”要求，坚决遏制新增隐性债务和不实化债，严防隐性债务“边化边增”，确保化债成果真实有效，经得起历史检验。指导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 w:bidi="ar"/>
        </w:rPr>
        <w:t>区级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打好存量隐性债务问题“歼灭战”，推动审计、监管等发现的新增漏报隐性债务、不实化债问题大起底。加大隐性债务问题问责力度，推动隐性债务问题追责问责全覆盖。</w:t>
      </w:r>
    </w:p>
    <w:sectPr>
      <w:footerReference r:id="rId3" w:type="default"/>
      <w:pgSz w:w="11906" w:h="16838"/>
      <w:pgMar w:top="2098" w:right="1588" w:bottom="1985" w:left="1588" w:header="1191" w:footer="1588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M6p&#10;ebnPAAAABQEAAA8AAAAAAAAAAQAgAAAAOAAAAGRycy9kb3ducmV2LnhtbFBLAQIUABQAAAAIAIdO&#10;4kBteV5o3QEAAL4DAAAOAAAAAAAAAAEAIAAAADQBAABkcnMvZTJvRG9jLnhtbFBLBQYAAAAABgAG&#10;AFkBAACD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lNzE1NWIyNTg5MWY2YzAxY2I5NGJmYzdhNjI2MjAifQ=="/>
  </w:docVars>
  <w:rsids>
    <w:rsidRoot w:val="00AB4A9E"/>
    <w:rsid w:val="00074351"/>
    <w:rsid w:val="001177DA"/>
    <w:rsid w:val="0021432A"/>
    <w:rsid w:val="00266CCE"/>
    <w:rsid w:val="00271EFA"/>
    <w:rsid w:val="003C079A"/>
    <w:rsid w:val="004C4638"/>
    <w:rsid w:val="005665A0"/>
    <w:rsid w:val="007F1A08"/>
    <w:rsid w:val="00A2114E"/>
    <w:rsid w:val="00A70892"/>
    <w:rsid w:val="00AB4A9E"/>
    <w:rsid w:val="00AD35A5"/>
    <w:rsid w:val="00BF0BA6"/>
    <w:rsid w:val="00CF4297"/>
    <w:rsid w:val="00DF27B0"/>
    <w:rsid w:val="00E36D8A"/>
    <w:rsid w:val="00F1496A"/>
    <w:rsid w:val="00F34E3B"/>
    <w:rsid w:val="01E65BE2"/>
    <w:rsid w:val="0A8A36E0"/>
    <w:rsid w:val="0AD57E86"/>
    <w:rsid w:val="0C0847C9"/>
    <w:rsid w:val="33D36D92"/>
    <w:rsid w:val="346352B7"/>
    <w:rsid w:val="3574317A"/>
    <w:rsid w:val="3BDFBC81"/>
    <w:rsid w:val="3F554F75"/>
    <w:rsid w:val="45F78075"/>
    <w:rsid w:val="4D045271"/>
    <w:rsid w:val="69EA0C90"/>
    <w:rsid w:val="7EE34933"/>
    <w:rsid w:val="7EEFBF70"/>
    <w:rsid w:val="7FF43EDA"/>
    <w:rsid w:val="E7FC425B"/>
    <w:rsid w:val="F2951CE4"/>
    <w:rsid w:val="FB7D7A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unhideWhenUsed/>
    <w:qFormat/>
    <w:uiPriority w:val="99"/>
    <w:rPr>
      <w:rFonts w:cs="Times New Roman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3">
    <w:name w:val="_Style 3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1867</Words>
  <Characters>2092</Characters>
  <Lines>11</Lines>
  <Paragraphs>3</Paragraphs>
  <TotalTime>93</TotalTime>
  <ScaleCrop>false</ScaleCrop>
  <LinksUpToDate>false</LinksUpToDate>
  <CharactersWithSpaces>2093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2021-12-23T17:45:00Z</dcterms:created>
  <dc:creator>王宇东(王宇东:办结)</dc:creator>
  <cp:lastModifiedBy>whxc</cp:lastModifiedBy>
  <cp:lastPrinted>2024-07-30T11:33:00Z</cp:lastPrinted>
  <dcterms:modified xsi:type="dcterms:W3CDTF">2025-09-12T11:22:23Z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03316C6CAA964062889F8E0EB2EC5BDB_12</vt:lpwstr>
  </property>
</Properties>
</file>