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2022年度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乌海市</w:t>
      </w:r>
      <w:r>
        <w:rPr>
          <w:rFonts w:hint="eastAsia" w:ascii="方正小标宋简体" w:eastAsia="方正小标宋简体"/>
          <w:sz w:val="44"/>
          <w:szCs w:val="44"/>
        </w:rPr>
        <w:t>本级对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三区</w:t>
      </w:r>
      <w:r>
        <w:rPr>
          <w:rFonts w:hint="eastAsia" w:ascii="方正小标宋简体" w:eastAsia="方正小标宋简体"/>
          <w:sz w:val="44"/>
          <w:szCs w:val="44"/>
        </w:rPr>
        <w:t>转移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支付情况说明</w:t>
      </w:r>
    </w:p>
    <w:bookmarkEnd w:id="0"/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ind w:firstLine="640" w:firstLineChars="200"/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1.固定补助支出决算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val="en-US" w:eastAsia="zh-CN"/>
        </w:rPr>
        <w:t>1.06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亿元，主要是对旗县（市区）固定数额补助支出，包括体制补助支出、农村税费改革补助支出等。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2.均衡性转移支付支出决算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6.65</w:t>
      </w:r>
      <w:r>
        <w:rPr>
          <w:rFonts w:hint="eastAsia" w:ascii="仿宋_GB2312" w:eastAsia="仿宋_GB2312"/>
          <w:sz w:val="32"/>
          <w:szCs w:val="32"/>
        </w:rPr>
        <w:t>亿元，主要是用于缩小地区间财力差距，推进基本公共服务均等化的财力性补助资金。</w:t>
      </w:r>
    </w:p>
    <w:p>
      <w:pPr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3.结算补助支出决算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1.88</w:t>
      </w:r>
      <w:r>
        <w:rPr>
          <w:rFonts w:hint="eastAsia" w:ascii="仿宋_GB2312" w:eastAsia="仿宋_GB2312"/>
          <w:bCs/>
          <w:sz w:val="32"/>
          <w:szCs w:val="32"/>
        </w:rPr>
        <w:t>亿元，主要是对旗县（市区）各类结算补助支出。</w:t>
      </w:r>
    </w:p>
    <w:p>
      <w:pPr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4.县级财力基本保障机制奖补资金支出决算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0.76</w:t>
      </w:r>
      <w:r>
        <w:rPr>
          <w:rFonts w:hint="eastAsia" w:ascii="仿宋_GB2312" w:eastAsia="仿宋_GB2312"/>
          <w:bCs/>
          <w:sz w:val="32"/>
          <w:szCs w:val="32"/>
        </w:rPr>
        <w:t>元，主要用于支持旗县（市区）政府兜住“保基本民生、保工资、保运转”（以下简称“三保”）底线，提高地方政府基本财力保障水平的支出。</w:t>
      </w:r>
    </w:p>
    <w:p>
      <w:pPr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4.资源枯竭型城市转移支付补助支出决算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0.4</w:t>
      </w:r>
      <w:r>
        <w:rPr>
          <w:rFonts w:hint="eastAsia" w:ascii="仿宋_GB2312" w:eastAsia="仿宋_GB2312"/>
          <w:bCs/>
          <w:sz w:val="32"/>
          <w:szCs w:val="32"/>
        </w:rPr>
        <w:t>亿元，主要是支持资源枯竭型城市和独立工矿区等转型发展的补助支出。</w:t>
      </w:r>
    </w:p>
    <w:p>
      <w:pPr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Cs/>
          <w:sz w:val="32"/>
          <w:szCs w:val="32"/>
        </w:rPr>
        <w:t>.民族地区转移支付支出决算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0.87</w:t>
      </w:r>
      <w:r>
        <w:rPr>
          <w:rFonts w:hint="eastAsia" w:ascii="仿宋_GB2312" w:eastAsia="仿宋_GB2312"/>
          <w:bCs/>
          <w:sz w:val="32"/>
          <w:szCs w:val="32"/>
        </w:rPr>
        <w:t>亿元，主要用于加大对民族地区特别是困难民族地区的支持力度，保障“三保”和基本公共服务需求重点领域等支出。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NzgwOGUxN2Q5MmFhM2RmYTA4YTJmZGVmZmVjODkifQ=="/>
  </w:docVars>
  <w:rsids>
    <w:rsidRoot w:val="320D1A8B"/>
    <w:rsid w:val="320D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2023-09-19T03:16:00Z</dcterms:created>
  <dc:creator>lenovo</dc:creator>
  <cp:lastModifiedBy>lenovo</cp:lastModifiedBy>
  <dcterms:modified xsi:type="dcterms:W3CDTF">2023-09-19T03:19:29Z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CCB00DA2B1C743628BD5037767B6D7F8_11</vt:lpwstr>
  </property>
</Properties>
</file>