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96D57">
      <w:pPr>
        <w:keepNext w:val="0"/>
        <w:keepLines w:val="0"/>
        <w:pageBreakBefore w:val="0"/>
        <w:wordWrap/>
        <w:overflowPunct/>
        <w:topLinePunct w:val="0"/>
        <w:bidi w:val="0"/>
        <w:spacing w:line="578" w:lineRule="exact"/>
        <w:rPr>
          <w:rFonts w:hint="default" w:ascii="Times New Roman" w:hAnsi="Times New Roman" w:eastAsia="仿宋_GB2312" w:cs="Times New Roman"/>
          <w:lang w:eastAsia="zh-CN"/>
        </w:rPr>
      </w:pPr>
    </w:p>
    <w:p w14:paraId="36BE8B5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乌海市财政局</w:t>
      </w:r>
    </w:p>
    <w:p w14:paraId="3A8B324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关于</w:t>
      </w:r>
      <w:r>
        <w:rPr>
          <w:rFonts w:hint="default" w:ascii="Times New Roman" w:hAnsi="Times New Roman" w:eastAsia="方正小标宋简体" w:cs="Times New Roman"/>
          <w:sz w:val="44"/>
          <w:szCs w:val="44"/>
          <w:lang w:val="en-US" w:eastAsia="zh-CN"/>
        </w:rPr>
        <w:t>2026年乌海市国有资本经营预算的说明</w:t>
      </w:r>
    </w:p>
    <w:p w14:paraId="789EF8E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方正小标宋简体" w:cs="Times New Roman"/>
          <w:sz w:val="44"/>
          <w:szCs w:val="44"/>
          <w:lang w:val="en-US" w:eastAsia="zh-CN"/>
        </w:rPr>
      </w:pPr>
    </w:p>
    <w:p w14:paraId="687FF7A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78" w:lineRule="exact"/>
        <w:ind w:right="0" w:rightChars="0" w:firstLine="664" w:firstLineChars="200"/>
        <w:jc w:val="both"/>
        <w:textAlignment w:val="baseline"/>
        <w:rPr>
          <w:rFonts w:hint="default" w:ascii="Times New Roman" w:hAnsi="Times New Roman" w:eastAsia="黑体" w:cs="Times New Roman"/>
          <w:spacing w:val="6"/>
          <w:kern w:val="0"/>
          <w:sz w:val="32"/>
          <w:szCs w:val="32"/>
        </w:rPr>
      </w:pPr>
      <w:r>
        <w:rPr>
          <w:rFonts w:hint="default" w:ascii="Times New Roman" w:hAnsi="Times New Roman" w:eastAsia="黑体" w:cs="Times New Roman"/>
          <w:snapToGrid w:val="0"/>
          <w:color w:val="000000"/>
          <w:spacing w:val="6"/>
          <w:kern w:val="0"/>
          <w:sz w:val="32"/>
          <w:szCs w:val="32"/>
          <w:lang w:val="en-US" w:eastAsia="en-US" w:bidi="ar-SA"/>
        </w:rPr>
        <w:t>一、</w:t>
      </w:r>
      <w:r>
        <w:rPr>
          <w:rFonts w:hint="default" w:ascii="Times New Roman" w:hAnsi="Times New Roman" w:eastAsia="黑体" w:cs="Times New Roman"/>
          <w:spacing w:val="6"/>
          <w:kern w:val="0"/>
          <w:sz w:val="32"/>
          <w:szCs w:val="32"/>
        </w:rPr>
        <w:t>预算编制依据</w:t>
      </w:r>
    </w:p>
    <w:p w14:paraId="5134EA5C">
      <w:pPr>
        <w:keepNext w:val="0"/>
        <w:keepLines w:val="0"/>
        <w:pageBreakBefore w:val="0"/>
        <w:widowControl/>
        <w:suppressLineNumbers w:val="0"/>
        <w:wordWrap/>
        <w:overflowPunct/>
        <w:topLinePunct w:val="0"/>
        <w:bidi w:val="0"/>
        <w:spacing w:line="578" w:lineRule="exact"/>
        <w:ind w:firstLine="664" w:firstLineChars="200"/>
        <w:jc w:val="left"/>
        <w:rPr>
          <w:rFonts w:hint="default" w:ascii="Times New Roman" w:hAnsi="Times New Roman" w:eastAsia="仿宋_GB2312" w:cs="Times New Roman"/>
          <w:snapToGrid w:val="0"/>
          <w:color w:val="000000"/>
          <w:spacing w:val="6"/>
          <w:kern w:val="0"/>
          <w:sz w:val="32"/>
          <w:szCs w:val="32"/>
          <w:lang w:val="en-US" w:eastAsia="en-US" w:bidi="ar-SA"/>
        </w:rPr>
      </w:pPr>
      <w:r>
        <w:rPr>
          <w:rFonts w:hint="default" w:ascii="Times New Roman" w:hAnsi="Times New Roman" w:eastAsia="仿宋_GB2312" w:cs="Times New Roman"/>
          <w:snapToGrid w:val="0"/>
          <w:color w:val="000000"/>
          <w:spacing w:val="6"/>
          <w:kern w:val="0"/>
          <w:sz w:val="32"/>
          <w:szCs w:val="32"/>
          <w:lang w:val="en-US" w:eastAsia="en-US" w:bidi="ar-SA"/>
        </w:rPr>
        <w:t>为加强和规范</w:t>
      </w:r>
      <w:r>
        <w:rPr>
          <w:rFonts w:hint="default" w:ascii="Times New Roman" w:hAnsi="Times New Roman" w:cs="Times New Roman"/>
          <w:snapToGrid w:val="0"/>
          <w:color w:val="000000"/>
          <w:spacing w:val="6"/>
          <w:kern w:val="0"/>
          <w:sz w:val="32"/>
          <w:szCs w:val="32"/>
          <w:lang w:val="en-US" w:eastAsia="zh-CN" w:bidi="ar-SA"/>
        </w:rPr>
        <w:t>乌海市</w:t>
      </w:r>
      <w:r>
        <w:rPr>
          <w:rFonts w:hint="default" w:ascii="Times New Roman" w:hAnsi="Times New Roman" w:eastAsia="仿宋_GB2312" w:cs="Times New Roman"/>
          <w:snapToGrid w:val="0"/>
          <w:color w:val="000000"/>
          <w:spacing w:val="6"/>
          <w:kern w:val="0"/>
          <w:sz w:val="32"/>
          <w:szCs w:val="32"/>
          <w:lang w:val="en-US" w:eastAsia="en-US" w:bidi="ar-SA"/>
        </w:rPr>
        <w:t>国有企业国有资本经营预算管理，优化国有资本配置，</w:t>
      </w:r>
      <w:r>
        <w:rPr>
          <w:rFonts w:hint="default" w:ascii="Times New Roman" w:hAnsi="Times New Roman" w:eastAsia="仿宋_GB2312" w:cs="Times New Roman"/>
          <w:color w:val="000000"/>
          <w:kern w:val="0"/>
          <w:sz w:val="31"/>
          <w:szCs w:val="31"/>
          <w:lang w:val="en-US" w:eastAsia="zh-CN" w:bidi="ar"/>
        </w:rPr>
        <w:t>根据《中华人民共和国预算法》</w:t>
      </w:r>
      <w:r>
        <w:rPr>
          <w:rFonts w:hint="eastAsia" w:ascii="Times New Roman" w:hAnsi="Times New Roman"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《内蒙古自治区人民政府关于印发</w:t>
      </w:r>
      <w:r>
        <w:rPr>
          <w:rFonts w:hint="eastAsia" w:ascii="Times New Roman" w:hAnsi="Times New Roman"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内蒙古自治区本级国有资本经营预算管理办法</w:t>
      </w:r>
      <w:r>
        <w:rPr>
          <w:rFonts w:hint="eastAsia" w:ascii="Times New Roman" w:hAnsi="Times New Roman"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的通知》（内政发〔</w:t>
      </w:r>
      <w:r>
        <w:rPr>
          <w:rFonts w:hint="default" w:ascii="Times New Roman" w:hAnsi="Times New Roman" w:eastAsia="宋体" w:cs="Times New Roman"/>
          <w:color w:val="000000"/>
          <w:kern w:val="0"/>
          <w:sz w:val="31"/>
          <w:szCs w:val="31"/>
          <w:lang w:val="en-US" w:eastAsia="zh-CN" w:bidi="ar"/>
        </w:rPr>
        <w:t>2024</w:t>
      </w:r>
      <w:r>
        <w:rPr>
          <w:rFonts w:hint="default" w:ascii="Times New Roman" w:hAnsi="Times New Roman" w:eastAsia="仿宋_GB2312" w:cs="Times New Roman"/>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21</w:t>
      </w:r>
      <w:r>
        <w:rPr>
          <w:rFonts w:hint="default" w:ascii="Times New Roman" w:hAnsi="Times New Roman" w:eastAsia="仿宋_GB2312" w:cs="Times New Roman"/>
          <w:color w:val="000000"/>
          <w:kern w:val="0"/>
          <w:sz w:val="31"/>
          <w:szCs w:val="31"/>
          <w:lang w:val="en-US" w:eastAsia="zh-CN" w:bidi="ar"/>
        </w:rPr>
        <w:t>号）等有关规定</w:t>
      </w:r>
      <w:r>
        <w:rPr>
          <w:rFonts w:hint="default" w:ascii="Times New Roman" w:hAnsi="Times New Roman" w:cs="Times New Roman"/>
          <w:color w:val="000000"/>
          <w:kern w:val="0"/>
          <w:sz w:val="31"/>
          <w:szCs w:val="31"/>
          <w:lang w:val="en-US" w:eastAsia="zh-CN" w:bidi="ar"/>
        </w:rPr>
        <w:t>，</w:t>
      </w:r>
      <w:r>
        <w:rPr>
          <w:rFonts w:hint="default" w:ascii="Times New Roman" w:hAnsi="Times New Roman" w:eastAsia="仿宋_GB2312" w:cs="Times New Roman"/>
          <w:snapToGrid w:val="0"/>
          <w:color w:val="000000"/>
          <w:spacing w:val="6"/>
          <w:kern w:val="0"/>
          <w:sz w:val="32"/>
          <w:szCs w:val="32"/>
          <w:lang w:val="en-US" w:eastAsia="en-US" w:bidi="ar-SA"/>
        </w:rPr>
        <w:t>作为编制乌海市国有资本经营预算的政策依据。</w:t>
      </w:r>
    </w:p>
    <w:p w14:paraId="408977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78" w:lineRule="exact"/>
        <w:ind w:left="0" w:leftChars="0" w:right="0" w:rightChars="0" w:firstLine="664" w:firstLineChars="200"/>
        <w:jc w:val="both"/>
        <w:textAlignment w:val="baseline"/>
        <w:rPr>
          <w:rFonts w:hint="default" w:ascii="Times New Roman" w:hAnsi="Times New Roman" w:eastAsia="黑体" w:cs="Times New Roman"/>
          <w:spacing w:val="6"/>
          <w:kern w:val="0"/>
          <w:sz w:val="32"/>
          <w:szCs w:val="32"/>
        </w:rPr>
      </w:pPr>
      <w:r>
        <w:rPr>
          <w:rFonts w:hint="default" w:ascii="Times New Roman" w:hAnsi="Times New Roman" w:eastAsia="黑体" w:cs="Times New Roman"/>
          <w:snapToGrid w:val="0"/>
          <w:color w:val="000000"/>
          <w:spacing w:val="6"/>
          <w:kern w:val="0"/>
          <w:sz w:val="32"/>
          <w:szCs w:val="32"/>
          <w:lang w:val="en-US" w:eastAsia="en-US" w:bidi="ar-SA"/>
        </w:rPr>
        <w:t>二、</w:t>
      </w:r>
      <w:r>
        <w:rPr>
          <w:rFonts w:hint="default" w:ascii="Times New Roman" w:hAnsi="Times New Roman" w:eastAsia="黑体" w:cs="Times New Roman"/>
          <w:spacing w:val="6"/>
          <w:kern w:val="0"/>
          <w:sz w:val="32"/>
          <w:szCs w:val="32"/>
        </w:rPr>
        <w:t>编制原则及编制范围</w:t>
      </w:r>
    </w:p>
    <w:p w14:paraId="5E09CBC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78" w:lineRule="exact"/>
        <w:ind w:left="0" w:leftChars="0" w:right="0" w:rightChars="0" w:firstLine="616" w:firstLineChars="200"/>
        <w:jc w:val="both"/>
        <w:textAlignment w:val="baseline"/>
        <w:rPr>
          <w:rFonts w:hint="default" w:ascii="Times New Roman" w:hAnsi="Times New Roman" w:eastAsia="仿宋_GB2312" w:cs="Times New Roman"/>
          <w:spacing w:val="6"/>
          <w:kern w:val="0"/>
          <w:sz w:val="32"/>
          <w:szCs w:val="32"/>
          <w:lang w:val="en-US" w:eastAsia="zh-CN"/>
        </w:rPr>
      </w:pPr>
      <w:r>
        <w:rPr>
          <w:rFonts w:hint="default" w:ascii="Times New Roman" w:hAnsi="Times New Roman" w:eastAsia="仿宋_GB2312" w:cs="Times New Roman"/>
          <w:snapToGrid w:val="0"/>
          <w:color w:val="000000"/>
          <w:spacing w:val="-6"/>
          <w:kern w:val="0"/>
          <w:sz w:val="32"/>
          <w:szCs w:val="32"/>
          <w:lang w:val="en-US" w:eastAsia="en-US" w:bidi="ar-SA"/>
        </w:rPr>
        <w:t>根据《内蒙古自治区人民政府办公厅关于印发自治区直属企业国有资本收益收取管理暂行办法的通知</w:t>
      </w:r>
      <w:r>
        <w:rPr>
          <w:rFonts w:hint="default" w:ascii="Times New Roman" w:hAnsi="Times New Roman" w:eastAsia="仿宋_GB2312" w:cs="Times New Roman"/>
          <w:snapToGrid w:val="0"/>
          <w:color w:val="000000"/>
          <w:spacing w:val="6"/>
          <w:kern w:val="0"/>
          <w:sz w:val="32"/>
          <w:szCs w:val="32"/>
          <w:lang w:val="en-US" w:eastAsia="en-US" w:bidi="ar-SA"/>
        </w:rPr>
        <w:t>》</w:t>
      </w:r>
      <w:r>
        <w:rPr>
          <w:rFonts w:hint="default" w:ascii="Times New Roman" w:hAnsi="Times New Roman" w:eastAsia="仿宋_GB2312" w:cs="Times New Roman"/>
          <w:snapToGrid w:val="0"/>
          <w:color w:val="000000"/>
          <w:spacing w:val="6"/>
          <w:kern w:val="0"/>
          <w:sz w:val="32"/>
          <w:szCs w:val="32"/>
          <w:lang w:val="en-US" w:eastAsia="zh-CN" w:bidi="ar-SA"/>
        </w:rPr>
        <w:t>（</w:t>
      </w:r>
      <w:r>
        <w:rPr>
          <w:rFonts w:hint="default" w:ascii="Times New Roman" w:hAnsi="Times New Roman" w:eastAsia="仿宋_GB2312" w:cs="Times New Roman"/>
          <w:snapToGrid w:val="0"/>
          <w:color w:val="000000"/>
          <w:spacing w:val="6"/>
          <w:kern w:val="0"/>
          <w:sz w:val="32"/>
          <w:szCs w:val="32"/>
          <w:lang w:val="en-US" w:eastAsia="en-US" w:bidi="ar-SA"/>
        </w:rPr>
        <w:t>内政办发〔2014〕78号</w:t>
      </w:r>
      <w:r>
        <w:rPr>
          <w:rFonts w:hint="default" w:ascii="Times New Roman" w:hAnsi="Times New Roman" w:eastAsia="仿宋_GB2312" w:cs="Times New Roman"/>
          <w:snapToGrid w:val="0"/>
          <w:color w:val="000000"/>
          <w:spacing w:val="6"/>
          <w:kern w:val="0"/>
          <w:sz w:val="32"/>
          <w:szCs w:val="32"/>
          <w:lang w:val="en-US" w:eastAsia="zh-CN" w:bidi="ar-SA"/>
        </w:rPr>
        <w:t>）</w:t>
      </w:r>
      <w:r>
        <w:rPr>
          <w:rFonts w:hint="default" w:ascii="Times New Roman" w:hAnsi="Times New Roman" w:eastAsia="仿宋_GB2312" w:cs="Times New Roman"/>
          <w:snapToGrid w:val="0"/>
          <w:color w:val="000000"/>
          <w:spacing w:val="6"/>
          <w:kern w:val="0"/>
          <w:sz w:val="32"/>
          <w:szCs w:val="32"/>
          <w:lang w:val="en-US" w:eastAsia="en-US" w:bidi="ar-SA"/>
        </w:rPr>
        <w:t>文件精神和</w:t>
      </w:r>
      <w:r>
        <w:rPr>
          <w:rFonts w:hint="default" w:ascii="Times New Roman" w:hAnsi="Times New Roman" w:eastAsia="仿宋_GB2312" w:cs="Times New Roman"/>
          <w:spacing w:val="6"/>
          <w:kern w:val="0"/>
          <w:sz w:val="32"/>
          <w:szCs w:val="32"/>
        </w:rPr>
        <w:t>《乌海市财政局关于市本级市属企业上缴202</w:t>
      </w:r>
      <w:r>
        <w:rPr>
          <w:rFonts w:hint="default" w:ascii="Times New Roman" w:hAnsi="Times New Roman" w:cs="Times New Roman"/>
          <w:spacing w:val="6"/>
          <w:kern w:val="0"/>
          <w:sz w:val="32"/>
          <w:szCs w:val="32"/>
          <w:lang w:val="en-US" w:eastAsia="zh-CN"/>
        </w:rPr>
        <w:t>5</w:t>
      </w:r>
      <w:r>
        <w:rPr>
          <w:rFonts w:hint="default" w:ascii="Times New Roman" w:hAnsi="Times New Roman" w:eastAsia="仿宋_GB2312" w:cs="Times New Roman"/>
          <w:spacing w:val="6"/>
          <w:kern w:val="0"/>
          <w:sz w:val="32"/>
          <w:szCs w:val="32"/>
        </w:rPr>
        <w:t>年国有资本经营收益和编报202</w:t>
      </w:r>
      <w:r>
        <w:rPr>
          <w:rFonts w:hint="default" w:ascii="Times New Roman" w:hAnsi="Times New Roman" w:eastAsia="仿宋_GB2312" w:cs="Times New Roman"/>
          <w:spacing w:val="6"/>
          <w:kern w:val="0"/>
          <w:sz w:val="32"/>
          <w:szCs w:val="32"/>
          <w:lang w:val="en-US" w:eastAsia="zh-CN"/>
        </w:rPr>
        <w:t>6</w:t>
      </w:r>
      <w:r>
        <w:rPr>
          <w:rFonts w:hint="default" w:ascii="Times New Roman" w:hAnsi="Times New Roman" w:eastAsia="仿宋_GB2312" w:cs="Times New Roman"/>
          <w:spacing w:val="6"/>
          <w:kern w:val="0"/>
          <w:sz w:val="32"/>
          <w:szCs w:val="32"/>
        </w:rPr>
        <w:t>年市本级国有资本经营预算的通知》（</w:t>
      </w:r>
      <w:r>
        <w:rPr>
          <w:rFonts w:hint="default" w:ascii="Times New Roman" w:hAnsi="Times New Roman" w:eastAsia="仿宋_GB2312" w:cs="Times New Roman"/>
          <w:spacing w:val="6"/>
          <w:kern w:val="0"/>
          <w:sz w:val="32"/>
          <w:szCs w:val="32"/>
          <w:lang w:eastAsia="zh-CN"/>
        </w:rPr>
        <w:t>乌财资〔</w:t>
      </w:r>
      <w:r>
        <w:rPr>
          <w:rFonts w:hint="default" w:ascii="Times New Roman" w:hAnsi="Times New Roman" w:eastAsia="仿宋_GB2312" w:cs="Times New Roman"/>
          <w:spacing w:val="6"/>
          <w:kern w:val="0"/>
          <w:sz w:val="32"/>
          <w:szCs w:val="32"/>
          <w:lang w:val="en-US" w:eastAsia="zh-CN"/>
        </w:rPr>
        <w:t>2025〕656号</w:t>
      </w:r>
      <w:r>
        <w:rPr>
          <w:rFonts w:hint="default" w:ascii="Times New Roman" w:hAnsi="Times New Roman" w:eastAsia="仿宋_GB2312" w:cs="Times New Roman"/>
          <w:spacing w:val="6"/>
          <w:kern w:val="0"/>
          <w:sz w:val="32"/>
          <w:szCs w:val="32"/>
          <w:lang w:eastAsia="zh-CN"/>
        </w:rPr>
        <w:t>）</w:t>
      </w:r>
      <w:r>
        <w:rPr>
          <w:rFonts w:hint="eastAsia" w:ascii="Times New Roman" w:hAnsi="Times New Roman" w:cs="Times New Roman"/>
          <w:spacing w:val="6"/>
          <w:kern w:val="0"/>
          <w:sz w:val="32"/>
          <w:szCs w:val="32"/>
          <w:lang w:eastAsia="zh-CN"/>
        </w:rPr>
        <w:t>，</w:t>
      </w:r>
      <w:r>
        <w:rPr>
          <w:rFonts w:hint="default" w:ascii="Times New Roman" w:hAnsi="Times New Roman" w:eastAsia="仿宋_GB2312" w:cs="Times New Roman"/>
          <w:spacing w:val="6"/>
          <w:kern w:val="0"/>
          <w:sz w:val="32"/>
          <w:szCs w:val="32"/>
          <w:lang w:val="en-US" w:eastAsia="en-US"/>
        </w:rPr>
        <w:t>结合我</w:t>
      </w:r>
      <w:r>
        <w:rPr>
          <w:rFonts w:hint="default" w:ascii="Times New Roman" w:hAnsi="Times New Roman" w:eastAsia="仿宋_GB2312" w:cs="Times New Roman"/>
          <w:spacing w:val="6"/>
          <w:kern w:val="0"/>
          <w:sz w:val="32"/>
          <w:szCs w:val="32"/>
          <w:lang w:val="en-US" w:eastAsia="zh-CN"/>
        </w:rPr>
        <w:t>市</w:t>
      </w:r>
      <w:r>
        <w:rPr>
          <w:rFonts w:hint="default" w:ascii="Times New Roman" w:hAnsi="Times New Roman" w:eastAsia="仿宋_GB2312" w:cs="Times New Roman"/>
          <w:spacing w:val="6"/>
          <w:kern w:val="0"/>
          <w:sz w:val="32"/>
          <w:szCs w:val="32"/>
          <w:lang w:val="en-US" w:eastAsia="en-US"/>
        </w:rPr>
        <w:t>实际情况，纳入编制国有资本经营预算的</w:t>
      </w:r>
      <w:r>
        <w:rPr>
          <w:rFonts w:hint="default" w:ascii="Times New Roman" w:hAnsi="Times New Roman" w:eastAsia="仿宋_GB2312" w:cs="Times New Roman"/>
          <w:spacing w:val="6"/>
          <w:kern w:val="0"/>
          <w:sz w:val="32"/>
          <w:szCs w:val="32"/>
          <w:lang w:val="en-US" w:eastAsia="zh-CN"/>
        </w:rPr>
        <w:t>市属国有企业为内蒙古狮城国有资本投资运营集团</w:t>
      </w:r>
      <w:r>
        <w:rPr>
          <w:rFonts w:hint="eastAsia" w:ascii="Times New Roman" w:hAnsi="Times New Roman" w:cs="Times New Roman"/>
          <w:spacing w:val="6"/>
          <w:kern w:val="0"/>
          <w:sz w:val="32"/>
          <w:szCs w:val="32"/>
          <w:lang w:val="en-US" w:eastAsia="zh-CN"/>
        </w:rPr>
        <w:t>有</w:t>
      </w:r>
      <w:r>
        <w:rPr>
          <w:rFonts w:hint="default" w:ascii="Times New Roman" w:hAnsi="Times New Roman" w:eastAsia="仿宋_GB2312" w:cs="Times New Roman"/>
          <w:spacing w:val="6"/>
          <w:kern w:val="0"/>
          <w:sz w:val="32"/>
          <w:szCs w:val="32"/>
          <w:lang w:val="en-US" w:eastAsia="zh-CN"/>
        </w:rPr>
        <w:t>限公司、乌海市高新工业投资集团有限责任公司、乌海全域文化旅游产业发展集团有限责任公司、乌海市城市公交服务集团有限责任公司、乌海市绿色之光工贸有限责任公司、乌海市城市建设投资集团有限责任公司；</w:t>
      </w:r>
      <w:r>
        <w:rPr>
          <w:rFonts w:hint="default" w:ascii="Times New Roman" w:hAnsi="Times New Roman" w:eastAsia="仿宋_GB2312" w:cs="Times New Roman"/>
          <w:spacing w:val="6"/>
          <w:kern w:val="0"/>
          <w:sz w:val="32"/>
          <w:szCs w:val="32"/>
          <w:lang w:val="en-US" w:eastAsia="en-US"/>
        </w:rPr>
        <w:t>区属国有企业为</w:t>
      </w:r>
      <w:r>
        <w:rPr>
          <w:rFonts w:hint="default" w:ascii="Times New Roman" w:hAnsi="Times New Roman" w:eastAsia="仿宋_GB2312" w:cs="Times New Roman"/>
          <w:spacing w:val="6"/>
          <w:kern w:val="0"/>
          <w:sz w:val="32"/>
          <w:szCs w:val="32"/>
          <w:lang w:val="en-US" w:eastAsia="zh-CN"/>
        </w:rPr>
        <w:t>乌海市海勃湾区城市建设投融资有限责任公司</w:t>
      </w:r>
      <w:r>
        <w:rPr>
          <w:rFonts w:hint="eastAsia" w:ascii="Times New Roman" w:hAnsi="Times New Roman" w:cs="Times New Roman"/>
          <w:spacing w:val="6"/>
          <w:kern w:val="0"/>
          <w:sz w:val="32"/>
          <w:szCs w:val="32"/>
          <w:lang w:val="en-US" w:eastAsia="zh-CN"/>
        </w:rPr>
        <w:t>、乌海市海勃湾区高新工业建设投融资有限责任公司、乌海市海勃湾区农村建设投融资有限责任公司、乌海市海南区城镇水务集团公司、乌海市海南城镇建设投融资有限公司，乌海市海盛工业投资开发有限公司。</w:t>
      </w:r>
    </w:p>
    <w:p w14:paraId="191CF199">
      <w:pPr>
        <w:keepNext w:val="0"/>
        <w:keepLines w:val="0"/>
        <w:pageBreakBefore w:val="0"/>
        <w:widowControl/>
        <w:kinsoku w:val="0"/>
        <w:wordWrap/>
        <w:overflowPunct/>
        <w:topLinePunct w:val="0"/>
        <w:autoSpaceDE w:val="0"/>
        <w:autoSpaceDN w:val="0"/>
        <w:bidi w:val="0"/>
        <w:adjustRightInd w:val="0"/>
        <w:snapToGrid w:val="0"/>
        <w:spacing w:line="578" w:lineRule="exact"/>
        <w:ind w:right="0" w:firstLine="664" w:firstLineChars="200"/>
        <w:jc w:val="both"/>
        <w:textAlignment w:val="baseline"/>
        <w:rPr>
          <w:rFonts w:hint="default" w:ascii="Times New Roman" w:hAnsi="Times New Roman" w:eastAsia="黑体" w:cs="Times New Roman"/>
          <w:spacing w:val="6"/>
          <w:kern w:val="0"/>
          <w:sz w:val="32"/>
          <w:szCs w:val="32"/>
        </w:rPr>
      </w:pPr>
      <w:r>
        <w:rPr>
          <w:rFonts w:hint="eastAsia" w:ascii="Times New Roman" w:hAnsi="Times New Roman" w:eastAsia="黑体" w:cs="Times New Roman"/>
          <w:spacing w:val="6"/>
          <w:kern w:val="0"/>
          <w:sz w:val="32"/>
          <w:szCs w:val="32"/>
          <w:lang w:eastAsia="zh-CN"/>
        </w:rPr>
        <w:t>三</w:t>
      </w:r>
      <w:r>
        <w:rPr>
          <w:rFonts w:hint="default" w:ascii="Times New Roman" w:hAnsi="Times New Roman" w:eastAsia="黑体" w:cs="Times New Roman"/>
          <w:spacing w:val="6"/>
          <w:kern w:val="0"/>
          <w:sz w:val="32"/>
          <w:szCs w:val="32"/>
        </w:rPr>
        <w:t>、国有资本经营预算收支建议草案</w:t>
      </w:r>
    </w:p>
    <w:p w14:paraId="7724EF22">
      <w:pPr>
        <w:pStyle w:val="5"/>
        <w:keepNext w:val="0"/>
        <w:keepLines w:val="0"/>
        <w:pageBreakBefore w:val="0"/>
        <w:widowControl/>
        <w:numPr>
          <w:ilvl w:val="0"/>
          <w:numId w:val="0"/>
        </w:numPr>
        <w:wordWrap/>
        <w:overflowPunct/>
        <w:topLinePunct w:val="0"/>
        <w:bidi w:val="0"/>
        <w:adjustRightInd w:val="0"/>
        <w:snapToGrid w:val="0"/>
        <w:spacing w:line="578" w:lineRule="exact"/>
        <w:ind w:right="0" w:rightChars="0" w:firstLine="664" w:firstLineChars="200"/>
        <w:jc w:val="both"/>
        <w:textAlignment w:val="baseline"/>
        <w:rPr>
          <w:rFonts w:hint="default" w:ascii="Times New Roman" w:hAnsi="Times New Roman" w:eastAsia="仿宋_GB2312" w:cs="Times New Roman"/>
          <w:snapToGrid w:val="0"/>
          <w:color w:val="000000"/>
          <w:spacing w:val="6"/>
          <w:kern w:val="0"/>
          <w:sz w:val="32"/>
          <w:szCs w:val="32"/>
          <w:lang w:val="en-US" w:eastAsia="en-US" w:bidi="ar-SA"/>
        </w:rPr>
      </w:pPr>
      <w:r>
        <w:rPr>
          <w:rFonts w:hint="default" w:ascii="Times New Roman" w:hAnsi="Times New Roman" w:eastAsia="楷体_GB2312" w:cs="Times New Roman"/>
          <w:snapToGrid w:val="0"/>
          <w:color w:val="000000"/>
          <w:spacing w:val="6"/>
          <w:kern w:val="0"/>
          <w:sz w:val="32"/>
          <w:szCs w:val="32"/>
          <w:lang w:val="en-US" w:eastAsia="zh-CN" w:bidi="ar-SA"/>
        </w:rPr>
        <w:t>（一）</w:t>
      </w:r>
      <w:r>
        <w:rPr>
          <w:rFonts w:hint="default" w:ascii="Times New Roman" w:hAnsi="Times New Roman" w:eastAsia="楷体_GB2312" w:cs="Times New Roman"/>
          <w:snapToGrid w:val="0"/>
          <w:color w:val="000000"/>
          <w:spacing w:val="6"/>
          <w:kern w:val="0"/>
          <w:sz w:val="32"/>
          <w:szCs w:val="32"/>
          <w:lang w:val="en-US" w:eastAsia="en-US" w:bidi="ar-SA"/>
        </w:rPr>
        <w:t>收入方面。</w:t>
      </w:r>
      <w:r>
        <w:rPr>
          <w:rFonts w:hint="default" w:ascii="Times New Roman" w:hAnsi="Times New Roman" w:eastAsia="仿宋_GB2312" w:cs="Times New Roman"/>
          <w:sz w:val="32"/>
          <w:szCs w:val="32"/>
          <w:lang w:val="en-US" w:eastAsia="en-US"/>
        </w:rPr>
        <w:t>根据各企业上报的经营情况与发展规划</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本级国有资本经营预算编制范围的</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户</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属国有企业</w:t>
      </w:r>
      <w:r>
        <w:rPr>
          <w:rFonts w:hint="default" w:ascii="Times New Roman" w:hAnsi="Times New Roman" w:eastAsia="仿宋_GB2312" w:cs="Times New Roman"/>
          <w:color w:val="auto"/>
          <w:sz w:val="32"/>
          <w:szCs w:val="32"/>
        </w:rPr>
        <w:t>国有资本经营预算收入预计</w:t>
      </w:r>
      <w:r>
        <w:rPr>
          <w:rFonts w:hint="eastAsia" w:ascii="Times New Roman" w:hAnsi="Times New Roman" w:eastAsia="仿宋_GB2312" w:cs="Times New Roman"/>
          <w:color w:val="auto"/>
          <w:sz w:val="32"/>
          <w:szCs w:val="32"/>
          <w:lang w:val="en-US" w:eastAsia="zh-CN"/>
        </w:rPr>
        <w:t>40406</w:t>
      </w:r>
      <w:r>
        <w:rPr>
          <w:rFonts w:hint="default" w:ascii="Times New Roman" w:hAnsi="Times New Roman" w:eastAsia="仿宋_GB2312" w:cs="Times New Roman"/>
          <w:color w:val="auto"/>
          <w:sz w:val="32"/>
          <w:szCs w:val="32"/>
        </w:rPr>
        <w:t>万元</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sz w:val="32"/>
          <w:szCs w:val="32"/>
        </w:rPr>
        <w:t>纳入</w:t>
      </w:r>
      <w:r>
        <w:rPr>
          <w:rFonts w:hint="default" w:ascii="Times New Roman" w:hAnsi="Times New Roman" w:cs="Times New Roman"/>
          <w:sz w:val="32"/>
          <w:szCs w:val="32"/>
          <w:lang w:eastAsia="zh-CN"/>
        </w:rPr>
        <w:t>海勃湾</w:t>
      </w: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本级国有资本经营预算编制范围的</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户</w:t>
      </w: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属国有企</w:t>
      </w:r>
      <w:r>
        <w:rPr>
          <w:rFonts w:hint="default" w:ascii="Times New Roman" w:hAnsi="Times New Roman" w:cs="Times New Roman"/>
          <w:sz w:val="32"/>
          <w:szCs w:val="32"/>
          <w:lang w:eastAsia="zh-CN"/>
        </w:rPr>
        <w:t>业</w:t>
      </w:r>
      <w:r>
        <w:rPr>
          <w:rFonts w:hint="default" w:ascii="Times New Roman" w:hAnsi="Times New Roman" w:eastAsia="仿宋_GB2312" w:cs="Times New Roman"/>
          <w:color w:val="auto"/>
          <w:sz w:val="32"/>
          <w:szCs w:val="32"/>
        </w:rPr>
        <w:t>国有资本经营预算收入预计</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60</w:t>
      </w:r>
      <w:r>
        <w:rPr>
          <w:rFonts w:hint="default" w:ascii="Times New Roman" w:hAnsi="Times New Roman" w:eastAsia="仿宋_GB2312" w:cs="Times New Roman"/>
          <w:color w:val="auto"/>
          <w:sz w:val="32"/>
          <w:szCs w:val="32"/>
        </w:rPr>
        <w:t>万元</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snapToGrid w:val="0"/>
          <w:color w:val="000000"/>
          <w:spacing w:val="11"/>
          <w:kern w:val="0"/>
          <w:sz w:val="32"/>
          <w:szCs w:val="32"/>
          <w:lang w:val="en-US" w:eastAsia="en-US" w:bidi="ar-SA"/>
        </w:rPr>
        <w:t>纳入</w:t>
      </w:r>
      <w:r>
        <w:rPr>
          <w:rFonts w:hint="default" w:ascii="Times New Roman" w:hAnsi="Times New Roman" w:eastAsia="仿宋_GB2312" w:cs="Times New Roman"/>
          <w:snapToGrid w:val="0"/>
          <w:color w:val="000000"/>
          <w:spacing w:val="11"/>
          <w:kern w:val="0"/>
          <w:sz w:val="32"/>
          <w:szCs w:val="32"/>
          <w:lang w:val="en-US" w:eastAsia="zh-CN" w:bidi="ar-SA"/>
        </w:rPr>
        <w:t>海南</w:t>
      </w:r>
      <w:r>
        <w:rPr>
          <w:rFonts w:hint="default" w:ascii="Times New Roman" w:hAnsi="Times New Roman" w:eastAsia="仿宋_GB2312" w:cs="Times New Roman"/>
          <w:snapToGrid w:val="0"/>
          <w:color w:val="000000"/>
          <w:spacing w:val="11"/>
          <w:kern w:val="0"/>
          <w:sz w:val="32"/>
          <w:szCs w:val="32"/>
          <w:lang w:val="en-US" w:eastAsia="en-US" w:bidi="ar-SA"/>
        </w:rPr>
        <w:t>区本级国有资本经营预算编制范围的3户区属国</w:t>
      </w:r>
      <w:bookmarkStart w:id="0" w:name="_GoBack"/>
      <w:bookmarkEnd w:id="0"/>
      <w:r>
        <w:rPr>
          <w:rFonts w:hint="default" w:ascii="Times New Roman" w:hAnsi="Times New Roman" w:eastAsia="仿宋_GB2312" w:cs="Times New Roman"/>
          <w:snapToGrid w:val="0"/>
          <w:color w:val="000000"/>
          <w:spacing w:val="11"/>
          <w:kern w:val="0"/>
          <w:sz w:val="32"/>
          <w:szCs w:val="32"/>
          <w:lang w:val="en-US" w:eastAsia="en-US" w:bidi="ar-SA"/>
        </w:rPr>
        <w:t>有企业</w:t>
      </w:r>
      <w:r>
        <w:rPr>
          <w:rFonts w:hint="default" w:ascii="Times New Roman" w:hAnsi="Times New Roman" w:eastAsia="仿宋_GB2312" w:cs="Times New Roman"/>
          <w:snapToGrid w:val="0"/>
          <w:color w:val="000000"/>
          <w:spacing w:val="-6"/>
          <w:kern w:val="0"/>
          <w:sz w:val="32"/>
          <w:szCs w:val="32"/>
          <w:lang w:val="en-US" w:eastAsia="en-US" w:bidi="ar-SA"/>
        </w:rPr>
        <w:t>国有资本经营预算收入预计</w:t>
      </w:r>
      <w:r>
        <w:rPr>
          <w:rFonts w:hint="eastAsia" w:ascii="Times New Roman" w:hAnsi="Times New Roman" w:eastAsia="仿宋_GB2312" w:cs="Times New Roman"/>
          <w:snapToGrid w:val="0"/>
          <w:color w:val="000000"/>
          <w:spacing w:val="-6"/>
          <w:kern w:val="0"/>
          <w:sz w:val="32"/>
          <w:szCs w:val="32"/>
          <w:lang w:val="en-US" w:eastAsia="zh-CN" w:bidi="ar-SA"/>
        </w:rPr>
        <w:t>18.20</w:t>
      </w:r>
      <w:r>
        <w:rPr>
          <w:rFonts w:hint="default" w:ascii="Times New Roman" w:hAnsi="Times New Roman" w:eastAsia="仿宋_GB2312" w:cs="Times New Roman"/>
          <w:snapToGrid w:val="0"/>
          <w:color w:val="000000"/>
          <w:spacing w:val="-6"/>
          <w:kern w:val="0"/>
          <w:sz w:val="32"/>
          <w:szCs w:val="32"/>
          <w:lang w:val="en-US" w:eastAsia="en-US" w:bidi="ar-SA"/>
        </w:rPr>
        <w:t>万元。</w:t>
      </w:r>
    </w:p>
    <w:p w14:paraId="02D83C89">
      <w:pPr>
        <w:pStyle w:val="5"/>
        <w:keepNext w:val="0"/>
        <w:keepLines w:val="0"/>
        <w:pageBreakBefore w:val="0"/>
        <w:widowControl/>
        <w:numPr>
          <w:ilvl w:val="0"/>
          <w:numId w:val="0"/>
        </w:numPr>
        <w:wordWrap/>
        <w:overflowPunct/>
        <w:topLinePunct w:val="0"/>
        <w:bidi w:val="0"/>
        <w:adjustRightInd w:val="0"/>
        <w:snapToGrid w:val="0"/>
        <w:spacing w:line="578" w:lineRule="exact"/>
        <w:ind w:right="0" w:rightChars="0" w:firstLine="664" w:firstLineChars="200"/>
        <w:jc w:val="both"/>
        <w:textAlignment w:val="baseline"/>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snapToGrid w:val="0"/>
          <w:color w:val="000000"/>
          <w:spacing w:val="6"/>
          <w:kern w:val="0"/>
          <w:sz w:val="32"/>
          <w:szCs w:val="32"/>
          <w:lang w:val="en-US" w:eastAsia="zh-CN" w:bidi="ar-SA"/>
        </w:rPr>
        <w:t>（二）支出费用。</w:t>
      </w:r>
      <w:r>
        <w:rPr>
          <w:rFonts w:hint="default" w:ascii="Times New Roman" w:hAnsi="Times New Roman" w:eastAsia="仿宋_GB2312" w:cs="Times New Roman"/>
          <w:color w:val="auto"/>
          <w:sz w:val="32"/>
          <w:szCs w:val="32"/>
        </w:rPr>
        <w:t>根据以收定支、不列赤字的原则，202</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年</w:t>
      </w:r>
      <w:r>
        <w:rPr>
          <w:rFonts w:hint="default" w:ascii="Times New Roman" w:hAnsi="Times New Roman" w:cs="Times New Roman"/>
          <w:color w:val="auto"/>
          <w:sz w:val="32"/>
          <w:szCs w:val="32"/>
          <w:lang w:eastAsia="zh-CN"/>
        </w:rPr>
        <w:t>市</w:t>
      </w:r>
      <w:r>
        <w:rPr>
          <w:rFonts w:hint="default" w:ascii="Times New Roman" w:hAnsi="Times New Roman" w:eastAsia="仿宋_GB2312" w:cs="Times New Roman"/>
          <w:color w:val="auto"/>
          <w:sz w:val="32"/>
          <w:szCs w:val="32"/>
          <w:lang w:eastAsia="zh-CN"/>
        </w:rPr>
        <w:t>属</w:t>
      </w:r>
      <w:r>
        <w:rPr>
          <w:rFonts w:hint="default" w:ascii="Times New Roman" w:hAnsi="Times New Roman" w:eastAsia="仿宋_GB2312" w:cs="Times New Roman"/>
          <w:color w:val="auto"/>
          <w:sz w:val="32"/>
          <w:szCs w:val="32"/>
        </w:rPr>
        <w:t>国有资本经营预算</w:t>
      </w:r>
      <w:r>
        <w:rPr>
          <w:rFonts w:hint="default" w:ascii="Times New Roman" w:hAnsi="Times New Roman" w:eastAsia="仿宋_GB2312" w:cs="Times New Roman"/>
          <w:color w:val="auto"/>
          <w:sz w:val="32"/>
          <w:szCs w:val="32"/>
          <w:lang w:eastAsia="zh-CN"/>
        </w:rPr>
        <w:t>调出</w:t>
      </w:r>
      <w:r>
        <w:rPr>
          <w:rFonts w:hint="default" w:ascii="Times New Roman" w:hAnsi="Times New Roman" w:eastAsia="仿宋_GB2312" w:cs="Times New Roman"/>
          <w:color w:val="auto"/>
          <w:sz w:val="32"/>
          <w:szCs w:val="32"/>
          <w:lang w:val="en-US" w:eastAsia="zh-CN"/>
        </w:rPr>
        <w:t>资金</w:t>
      </w:r>
      <w:r>
        <w:rPr>
          <w:rFonts w:hint="eastAsia" w:ascii="Times New Roman" w:hAnsi="Times New Roman" w:eastAsia="仿宋_GB2312" w:cs="Times New Roman"/>
          <w:color w:val="auto"/>
          <w:sz w:val="32"/>
          <w:szCs w:val="32"/>
          <w:lang w:val="en-US" w:eastAsia="zh-CN"/>
        </w:rPr>
        <w:t>20246</w:t>
      </w:r>
      <w:r>
        <w:rPr>
          <w:rFonts w:hint="default" w:ascii="Times New Roman" w:hAnsi="Times New Roman" w:eastAsia="仿宋_GB2312" w:cs="Times New Roman"/>
          <w:color w:val="auto"/>
          <w:sz w:val="32"/>
          <w:szCs w:val="32"/>
          <w:lang w:val="en-US" w:eastAsia="zh-CN"/>
        </w:rPr>
        <w:t>万元，</w:t>
      </w:r>
      <w:r>
        <w:rPr>
          <w:rFonts w:hint="eastAsia" w:ascii="Times New Roman" w:hAnsi="Times New Roman" w:eastAsia="仿宋_GB2312" w:cs="Times New Roman"/>
          <w:color w:val="auto"/>
          <w:sz w:val="32"/>
          <w:szCs w:val="32"/>
          <w:lang w:val="en-US" w:eastAsia="zh-CN"/>
        </w:rPr>
        <w:t>国有企业资本金注入2亿元，解决历史遗留问题及改革成本支出126万元，其他国有资本经营预算支出160万元</w:t>
      </w:r>
      <w:r>
        <w:rPr>
          <w:rFonts w:hint="default" w:ascii="Times New Roman" w:hAnsi="Times New Roman" w:cs="Times New Roman"/>
          <w:color w:val="auto"/>
          <w:sz w:val="32"/>
          <w:szCs w:val="32"/>
          <w:lang w:eastAsia="zh-CN"/>
        </w:rPr>
        <w:t>；海勃湾</w:t>
      </w:r>
      <w:r>
        <w:rPr>
          <w:rFonts w:hint="default" w:ascii="Times New Roman" w:hAnsi="Times New Roman" w:eastAsia="仿宋_GB2312" w:cs="Times New Roman"/>
          <w:color w:val="auto"/>
          <w:sz w:val="32"/>
          <w:szCs w:val="32"/>
          <w:lang w:eastAsia="zh-CN"/>
        </w:rPr>
        <w:t>区属</w:t>
      </w:r>
      <w:r>
        <w:rPr>
          <w:rFonts w:hint="default" w:ascii="Times New Roman" w:hAnsi="Times New Roman" w:eastAsia="仿宋_GB2312" w:cs="Times New Roman"/>
          <w:color w:val="auto"/>
          <w:sz w:val="32"/>
          <w:szCs w:val="32"/>
        </w:rPr>
        <w:t>国有资本经营预算</w:t>
      </w:r>
      <w:r>
        <w:rPr>
          <w:rFonts w:hint="default" w:ascii="Times New Roman" w:hAnsi="Times New Roman" w:eastAsia="仿宋_GB2312" w:cs="Times New Roman"/>
          <w:color w:val="auto"/>
          <w:sz w:val="32"/>
          <w:szCs w:val="32"/>
          <w:lang w:eastAsia="zh-CN"/>
        </w:rPr>
        <w:t>调出资金</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60</w:t>
      </w:r>
      <w:r>
        <w:rPr>
          <w:rFonts w:hint="default" w:ascii="Times New Roman" w:hAnsi="Times New Roman" w:eastAsia="仿宋_GB2312" w:cs="Times New Roman"/>
          <w:color w:val="auto"/>
          <w:sz w:val="32"/>
          <w:szCs w:val="32"/>
          <w:lang w:val="en-US" w:eastAsia="zh-CN"/>
        </w:rPr>
        <w:t>万元，调入一般公共预算</w:t>
      </w:r>
      <w:r>
        <w:rPr>
          <w:rFonts w:hint="default" w:ascii="Times New Roman" w:hAnsi="Times New Roman" w:eastAsia="仿宋_GB2312" w:cs="Times New Roman"/>
          <w:color w:val="auto"/>
          <w:sz w:val="32"/>
          <w:szCs w:val="32"/>
          <w:lang w:eastAsia="zh-CN"/>
        </w:rPr>
        <w:t>用于保障和改善民生</w:t>
      </w:r>
      <w:r>
        <w:rPr>
          <w:rFonts w:hint="default" w:ascii="Times New Roman" w:hAnsi="Times New Roman" w:cs="Times New Roman"/>
          <w:color w:val="auto"/>
          <w:sz w:val="32"/>
          <w:szCs w:val="32"/>
          <w:lang w:eastAsia="zh-CN"/>
        </w:rPr>
        <w:t>；海南区支出</w:t>
      </w:r>
      <w:r>
        <w:rPr>
          <w:rFonts w:hint="eastAsia" w:ascii="Times New Roman" w:hAnsi="Times New Roman" w:eastAsia="仿宋_GB2312" w:cs="Times New Roman"/>
          <w:color w:val="auto"/>
          <w:spacing w:val="6"/>
          <w:kern w:val="0"/>
          <w:sz w:val="32"/>
          <w:szCs w:val="32"/>
          <w:lang w:val="en-US" w:eastAsia="zh-CN"/>
        </w:rPr>
        <w:t>18.20</w:t>
      </w:r>
      <w:r>
        <w:rPr>
          <w:rFonts w:hint="default" w:ascii="Times New Roman" w:hAnsi="Times New Roman" w:eastAsia="仿宋_GB2312" w:cs="Times New Roman"/>
          <w:color w:val="auto"/>
          <w:spacing w:val="6"/>
          <w:kern w:val="0"/>
          <w:sz w:val="32"/>
          <w:szCs w:val="32"/>
          <w:lang w:val="en-US" w:eastAsia="zh-CN"/>
        </w:rPr>
        <w:t>万元用于</w:t>
      </w:r>
      <w:r>
        <w:rPr>
          <w:rFonts w:hint="default" w:ascii="Times New Roman" w:hAnsi="Times New Roman" w:eastAsia="仿宋_GB2312" w:cs="Times New Roman"/>
          <w:color w:val="auto"/>
          <w:spacing w:val="6"/>
          <w:kern w:val="0"/>
          <w:sz w:val="32"/>
          <w:szCs w:val="32"/>
        </w:rPr>
        <w:t>解决历史遗留问题及改革成本支出</w:t>
      </w:r>
      <w:r>
        <w:rPr>
          <w:rFonts w:hint="default" w:ascii="Times New Roman" w:hAnsi="Times New Roman" w:eastAsia="仿宋_GB2312" w:cs="Times New Roman"/>
          <w:color w:val="auto"/>
          <w:spacing w:val="6"/>
          <w:kern w:val="0"/>
          <w:sz w:val="32"/>
          <w:szCs w:val="32"/>
          <w:lang w:eastAsia="zh-CN"/>
        </w:rPr>
        <w:t>。</w:t>
      </w:r>
    </w:p>
    <w:p w14:paraId="24FBAB52">
      <w:pPr>
        <w:pStyle w:val="5"/>
        <w:keepNext w:val="0"/>
        <w:keepLines w:val="0"/>
        <w:pageBreakBefore w:val="0"/>
        <w:widowControl/>
        <w:numPr>
          <w:ilvl w:val="0"/>
          <w:numId w:val="0"/>
        </w:numPr>
        <w:wordWrap/>
        <w:overflowPunct/>
        <w:topLinePunct w:val="0"/>
        <w:bidi w:val="0"/>
        <w:adjustRightInd w:val="0"/>
        <w:snapToGrid w:val="0"/>
        <w:spacing w:line="578" w:lineRule="exact"/>
        <w:ind w:right="0" w:rightChars="0" w:firstLine="640" w:firstLineChars="200"/>
        <w:jc w:val="both"/>
        <w:textAlignment w:val="baseline"/>
        <w:rPr>
          <w:rFonts w:hint="default" w:ascii="Times New Roman" w:hAnsi="Times New Roman" w:eastAsia="仿宋_GB2312" w:cs="Times New Roman"/>
          <w:snapToGrid w:val="0"/>
          <w:spacing w:val="0"/>
          <w:kern w:val="0"/>
          <w:sz w:val="32"/>
          <w:szCs w:val="32"/>
          <w:lang w:val="en-US" w:eastAsia="zh-CN"/>
        </w:rPr>
      </w:pPr>
    </w:p>
    <w:p w14:paraId="6F67CC96">
      <w:pPr>
        <w:keepNext w:val="0"/>
        <w:keepLines w:val="0"/>
        <w:pageBreakBefore w:val="0"/>
        <w:widowControl/>
        <w:suppressLineNumbers w:val="0"/>
        <w:wordWrap/>
        <w:overflowPunct/>
        <w:topLinePunct w:val="0"/>
        <w:bidi w:val="0"/>
        <w:spacing w:line="578" w:lineRule="exact"/>
        <w:ind w:firstLine="640"/>
        <w:jc w:val="left"/>
        <w:rPr>
          <w:rFonts w:hint="default" w:ascii="Times New Roman" w:hAnsi="Times New Roman" w:cs="Times New Roman"/>
          <w:color w:val="000000"/>
          <w:kern w:val="0"/>
          <w:sz w:val="31"/>
          <w:szCs w:val="31"/>
          <w:lang w:val="en-US" w:eastAsia="zh-CN" w:bidi="ar"/>
        </w:rPr>
      </w:pPr>
    </w:p>
    <w:p w14:paraId="019E2027">
      <w:pPr>
        <w:keepNext w:val="0"/>
        <w:keepLines w:val="0"/>
        <w:pageBreakBefore w:val="0"/>
        <w:widowControl/>
        <w:suppressLineNumbers w:val="0"/>
        <w:wordWrap/>
        <w:overflowPunct/>
        <w:topLinePunct w:val="0"/>
        <w:bidi w:val="0"/>
        <w:spacing w:line="578" w:lineRule="exact"/>
        <w:jc w:val="left"/>
        <w:rPr>
          <w:rFonts w:hint="default" w:ascii="Times New Roman" w:hAnsi="Times New Roman" w:cs="Times New Roman"/>
          <w:sz w:val="32"/>
          <w:szCs w:val="32"/>
          <w:lang w:val="en-US" w:eastAsia="zh-CN"/>
        </w:rPr>
      </w:pPr>
    </w:p>
    <w:p w14:paraId="3675E7A7">
      <w:pPr>
        <w:keepNext w:val="0"/>
        <w:keepLines w:val="0"/>
        <w:pageBreakBefore w:val="0"/>
        <w:widowControl/>
        <w:suppressLineNumbers w:val="0"/>
        <w:wordWrap/>
        <w:overflowPunct/>
        <w:topLinePunct w:val="0"/>
        <w:bidi w:val="0"/>
        <w:spacing w:line="578" w:lineRule="exact"/>
        <w:jc w:val="left"/>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CB257B"/>
    <w:rsid w:val="01FD609D"/>
    <w:rsid w:val="0235322D"/>
    <w:rsid w:val="036D7252"/>
    <w:rsid w:val="03A569EC"/>
    <w:rsid w:val="040C6A6B"/>
    <w:rsid w:val="0485083D"/>
    <w:rsid w:val="049727D9"/>
    <w:rsid w:val="057E74F5"/>
    <w:rsid w:val="06127C3D"/>
    <w:rsid w:val="07E6312F"/>
    <w:rsid w:val="07F65A68"/>
    <w:rsid w:val="08A96637"/>
    <w:rsid w:val="090E6DE2"/>
    <w:rsid w:val="09895827"/>
    <w:rsid w:val="0A047598"/>
    <w:rsid w:val="0AA7304A"/>
    <w:rsid w:val="0AC41E4E"/>
    <w:rsid w:val="0ADB7197"/>
    <w:rsid w:val="0B462863"/>
    <w:rsid w:val="0C1E10EA"/>
    <w:rsid w:val="0EA16002"/>
    <w:rsid w:val="0EF3685E"/>
    <w:rsid w:val="11FD79F3"/>
    <w:rsid w:val="13D36C5E"/>
    <w:rsid w:val="15EE4223"/>
    <w:rsid w:val="178070FD"/>
    <w:rsid w:val="184243B2"/>
    <w:rsid w:val="19B906A4"/>
    <w:rsid w:val="1C390003"/>
    <w:rsid w:val="1D4110DC"/>
    <w:rsid w:val="1D6372A4"/>
    <w:rsid w:val="1D7847E3"/>
    <w:rsid w:val="1EE461C3"/>
    <w:rsid w:val="1EEB7551"/>
    <w:rsid w:val="20452C91"/>
    <w:rsid w:val="211F7986"/>
    <w:rsid w:val="21DE15EF"/>
    <w:rsid w:val="223E5BEA"/>
    <w:rsid w:val="229073E5"/>
    <w:rsid w:val="22FE5379"/>
    <w:rsid w:val="23DC1B5F"/>
    <w:rsid w:val="23F70746"/>
    <w:rsid w:val="248A15BB"/>
    <w:rsid w:val="248D4C07"/>
    <w:rsid w:val="24A15EB2"/>
    <w:rsid w:val="24B228BF"/>
    <w:rsid w:val="24F42ED8"/>
    <w:rsid w:val="25382DC5"/>
    <w:rsid w:val="26143832"/>
    <w:rsid w:val="262B46D7"/>
    <w:rsid w:val="274C6FFB"/>
    <w:rsid w:val="277B168E"/>
    <w:rsid w:val="287F1375"/>
    <w:rsid w:val="28D70B46"/>
    <w:rsid w:val="29023E15"/>
    <w:rsid w:val="29CC7F7F"/>
    <w:rsid w:val="29FD449C"/>
    <w:rsid w:val="2A317819"/>
    <w:rsid w:val="2D28743E"/>
    <w:rsid w:val="2E8B665B"/>
    <w:rsid w:val="2EED4C20"/>
    <w:rsid w:val="2F923A19"/>
    <w:rsid w:val="33AA4C2B"/>
    <w:rsid w:val="369E0EF6"/>
    <w:rsid w:val="37FE7E9E"/>
    <w:rsid w:val="382C4A0B"/>
    <w:rsid w:val="38CC1C3C"/>
    <w:rsid w:val="39F72DF7"/>
    <w:rsid w:val="3AE74C19"/>
    <w:rsid w:val="3B0D21A6"/>
    <w:rsid w:val="3BC06B90"/>
    <w:rsid w:val="3DC079A3"/>
    <w:rsid w:val="3DCB257B"/>
    <w:rsid w:val="3DE6740A"/>
    <w:rsid w:val="3F2B67B3"/>
    <w:rsid w:val="3F9966FE"/>
    <w:rsid w:val="3FE07E89"/>
    <w:rsid w:val="41AC44C7"/>
    <w:rsid w:val="463F7FFF"/>
    <w:rsid w:val="46FC2791"/>
    <w:rsid w:val="470D5A07"/>
    <w:rsid w:val="47136D96"/>
    <w:rsid w:val="4AF8077D"/>
    <w:rsid w:val="4BF21670"/>
    <w:rsid w:val="4C0D2006"/>
    <w:rsid w:val="4CA94424"/>
    <w:rsid w:val="4D094EC3"/>
    <w:rsid w:val="4D13189E"/>
    <w:rsid w:val="4D573E80"/>
    <w:rsid w:val="4D5D0D6B"/>
    <w:rsid w:val="4D862070"/>
    <w:rsid w:val="4F8627FB"/>
    <w:rsid w:val="4FE614EB"/>
    <w:rsid w:val="506863A4"/>
    <w:rsid w:val="51090415"/>
    <w:rsid w:val="533B38FC"/>
    <w:rsid w:val="542E3461"/>
    <w:rsid w:val="54BE206A"/>
    <w:rsid w:val="559B516A"/>
    <w:rsid w:val="56163673"/>
    <w:rsid w:val="565C42B5"/>
    <w:rsid w:val="56846C2F"/>
    <w:rsid w:val="5BA1276A"/>
    <w:rsid w:val="5C910A31"/>
    <w:rsid w:val="5EB6477F"/>
    <w:rsid w:val="5F677827"/>
    <w:rsid w:val="5FB52C88"/>
    <w:rsid w:val="603B318E"/>
    <w:rsid w:val="62744735"/>
    <w:rsid w:val="62FA10DE"/>
    <w:rsid w:val="639826A5"/>
    <w:rsid w:val="64356146"/>
    <w:rsid w:val="64E5191A"/>
    <w:rsid w:val="65C854C3"/>
    <w:rsid w:val="66165002"/>
    <w:rsid w:val="663568D1"/>
    <w:rsid w:val="66501015"/>
    <w:rsid w:val="679B2764"/>
    <w:rsid w:val="6833299C"/>
    <w:rsid w:val="68C1444C"/>
    <w:rsid w:val="68D20407"/>
    <w:rsid w:val="69A9560C"/>
    <w:rsid w:val="6C523D39"/>
    <w:rsid w:val="6CA16A6E"/>
    <w:rsid w:val="6CE60925"/>
    <w:rsid w:val="6D0F1C2A"/>
    <w:rsid w:val="6D1D70C2"/>
    <w:rsid w:val="6D4A4A10"/>
    <w:rsid w:val="6DA22A9E"/>
    <w:rsid w:val="6DC81DD9"/>
    <w:rsid w:val="6EF54E4F"/>
    <w:rsid w:val="6F7915DC"/>
    <w:rsid w:val="6FD25527"/>
    <w:rsid w:val="6FF3138F"/>
    <w:rsid w:val="70DC0075"/>
    <w:rsid w:val="70F14B18"/>
    <w:rsid w:val="713C0B14"/>
    <w:rsid w:val="71A212BE"/>
    <w:rsid w:val="71C07997"/>
    <w:rsid w:val="71ED2D89"/>
    <w:rsid w:val="72AE77EF"/>
    <w:rsid w:val="7372081D"/>
    <w:rsid w:val="73DB2866"/>
    <w:rsid w:val="7472484C"/>
    <w:rsid w:val="74830807"/>
    <w:rsid w:val="74934EEE"/>
    <w:rsid w:val="75175B20"/>
    <w:rsid w:val="754D7793"/>
    <w:rsid w:val="76FD0D45"/>
    <w:rsid w:val="7836450F"/>
    <w:rsid w:val="784055A3"/>
    <w:rsid w:val="7A0348C4"/>
    <w:rsid w:val="7A401675"/>
    <w:rsid w:val="7A6510DB"/>
    <w:rsid w:val="7ACE4ED2"/>
    <w:rsid w:val="7B166879"/>
    <w:rsid w:val="7C63789C"/>
    <w:rsid w:val="7C645384"/>
    <w:rsid w:val="7D5D253D"/>
    <w:rsid w:val="7E290672"/>
    <w:rsid w:val="7EBE5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Ascii" w:hAnsiTheme="minorAscii" w:cstheme="minorBidi"/>
      <w:kern w:val="2"/>
      <w:sz w:val="32"/>
      <w:szCs w:val="24"/>
      <w:lang w:val="en-US" w:eastAsia="zh-CN" w:bidi="ar-SA"/>
    </w:rPr>
  </w:style>
  <w:style w:type="paragraph" w:styleId="4">
    <w:name w:val="heading 1"/>
    <w:basedOn w:val="1"/>
    <w:next w:val="1"/>
    <w:qFormat/>
    <w:uiPriority w:val="0"/>
    <w:pPr>
      <w:keepNext/>
      <w:keepLines/>
      <w:spacing w:beforeLines="0" w:beforeAutospacing="0" w:afterLines="0" w:afterAutospacing="0" w:line="578" w:lineRule="exact"/>
      <w:outlineLvl w:val="0"/>
    </w:pPr>
    <w:rPr>
      <w:rFonts w:eastAsia="方正小标宋简体"/>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3"/>
    <w:qFormat/>
    <w:uiPriority w:val="0"/>
    <w:pPr>
      <w:spacing w:before="240" w:beforeLines="0" w:beforeAutospacing="0" w:after="60" w:afterLines="0" w:afterAutospacing="0"/>
      <w:jc w:val="center"/>
      <w:outlineLvl w:val="0"/>
    </w:pPr>
    <w:rPr>
      <w:rFonts w:ascii="Arial" w:hAnsi="Arial"/>
      <w:b/>
      <w:sz w:val="32"/>
    </w:rPr>
  </w:style>
  <w:style w:type="paragraph" w:styleId="3">
    <w:name w:val="Body Text Indent"/>
    <w:basedOn w:val="1"/>
    <w:next w:val="1"/>
    <w:qFormat/>
    <w:uiPriority w:val="0"/>
    <w:pPr>
      <w:ind w:firstLine="630"/>
    </w:pPr>
    <w:rPr>
      <w:rFonts w:ascii="Times New Roman" w:hAnsi="Times New Roman" w:eastAsia="宋体" w:cs="Times New Roman"/>
      <w:szCs w:val="24"/>
    </w:rPr>
  </w:style>
  <w:style w:type="paragraph" w:styleId="5">
    <w:name w:val="Body Text"/>
    <w:basedOn w:val="1"/>
    <w:semiHidden/>
    <w:qFormat/>
    <w:uiPriority w:val="0"/>
    <w:rPr>
      <w:rFonts w:ascii="仿宋" w:hAnsi="仿宋" w:eastAsia="仿宋" w:cs="仿宋"/>
      <w:sz w:val="57"/>
      <w:szCs w:val="57"/>
      <w:lang w:val="en-US" w:eastAsia="en-US" w:bidi="ar-SA"/>
    </w:rPr>
  </w:style>
  <w:style w:type="paragraph" w:customStyle="1" w:styleId="8">
    <w:name w:val="公文格式"/>
    <w:basedOn w:val="2"/>
    <w:qFormat/>
    <w:uiPriority w:val="0"/>
    <w:pPr>
      <w:spacing w:line="580" w:lineRule="exact"/>
    </w:pPr>
    <w:rPr>
      <w:rFonts w:hint="eastAsia" w:ascii="仿宋_GB2312" w:hAnsi="仿宋_GB2312" w:eastAsia="方正小标宋简体" w:cs="仿宋_GB2312"/>
      <w:b w:val="0"/>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806de38f-1b58-4c1f-8fea-77e01e9a32a3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5134EA5C</paraID>
      <start>46</start>
      <end>49</end>
      <status>unmodified</status>
      <modifiedWord/>
      <trackRevisions>false</trackRevisions>
    </reviewItem>
    <reviewItem>
      <errorID>6e9ac723-ed3f-457e-96a0-cb279891f4d5</errorID>
      <errorWord>。</errorWord>
      <group>L1_Punc</group>
      <groupName>标点问题</groupName>
      <ability>L2_Punc</ability>
      <abilityName>标点符号检查</abilityName>
      <candidateList>
        <item/>
      </candidateList>
      <explain>标题文本后不使用标点符号。</explain>
      <paraID>7724EF22</paraID>
      <start>7</start>
      <end>8</end>
      <status>unmodified</status>
      <modifiedWord/>
      <trackRevisions>false</trackRevisions>
    </reviewItem>
    <reviewItem>
      <errorID>958a06e2-34cd-41f8-98c6-438d3b2f1056</errorID>
      <errorWord>。</errorWord>
      <group>L1_Punc</group>
      <groupName>标点问题</groupName>
      <ability>L2_Punc</ability>
      <abilityName>标点符号检查</abilityName>
      <candidateList>
        <item/>
      </candidateList>
      <explain>标题文本后不使用标点符号。</explain>
      <paraID> 2D83C89</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183422c8-18cf-4d0e-947e-afe7e1895ef3}">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2</Pages>
  <Words>862</Words>
  <Characters>914</Characters>
  <Lines>0</Lines>
  <Paragraphs>0</Paragraphs>
  <TotalTime>432</TotalTime>
  <ScaleCrop>false</ScaleCrop>
  <LinksUpToDate>false</LinksUpToDate>
  <CharactersWithSpaces>949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2024-11-28T07:30:00Z</dcterms:created>
  <dc:creator>     韓劈柴</dc:creator>
  <cp:lastModifiedBy>     韓劈柴</cp:lastModifiedBy>
  <cp:lastPrinted>2025-11-18T01:59:00Z</cp:lastPrinted>
  <dcterms:modified xsi:type="dcterms:W3CDTF">2026-02-10T01:26:31Z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971F2EC78A7341548835ADFC2F6600CF_13</vt:lpwstr>
  </property>
  <property fmtid="{D5CDD505-2E9C-101B-9397-08002B2CF9AE}" pid="4" name="KSOTemplateDocerSaveRecord">
    <vt:lpwstr>eyJoZGlkIjoiODc4MTg0ODMyYzM3MWNjYWRiNDhmZDEzNDRlOTk5NzEiLCJ1c2VySWQiOiIxOTQxNjgwNjQifQ==</vt:lpwstr>
  </property>
</Properties>
</file>