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乌海市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本级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政府性基金预算收支说明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default" w:eastAsia="仿宋_GB2312" w:cs="Times New Roman"/>
          <w:sz w:val="32"/>
          <w:szCs w:val="32"/>
          <w:lang w:val="en-US" w:eastAsia="zh-CN"/>
        </w:rPr>
        <w:t>乌海市本级政府性基金预算收入包括国有土地使用权出让收入、污水处理费收入费用。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2025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年，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乌海市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本级政府性基金预算</w:t>
      </w:r>
      <w:bookmarkStart w:id="0" w:name="_GoBack"/>
      <w:bookmarkEnd w:id="0"/>
      <w:r>
        <w:rPr>
          <w:rFonts w:hint="default" w:eastAsia="仿宋_GB2312" w:cs="Times New Roman"/>
          <w:sz w:val="32"/>
          <w:szCs w:val="32"/>
          <w:lang w:val="en-US" w:eastAsia="zh-CN"/>
        </w:rPr>
        <w:t>收入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28885.69万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元，其中，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自治区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提前下达政府性基金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4346.69万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元，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乌海市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本级政府性基金收入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15037万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元</w:t>
      </w:r>
      <w:r>
        <w:rPr>
          <w:rFonts w:hint="default" w:eastAsia="仿宋_GB2312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专项债务对应项目专项收入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7767万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元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，区级上解收入1735万元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default" w:eastAsia="仿宋_GB2312" w:cs="Times New Roman"/>
          <w:sz w:val="32"/>
          <w:szCs w:val="32"/>
          <w:lang w:val="en-US" w:eastAsia="zh-CN"/>
        </w:rPr>
        <w:t>按照以收定支原则，202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年安排支出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28885.69万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元。其中，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乌海市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本级安排支出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12037万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元，补助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区级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517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万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元，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专项债务对应项目专项支出9502万元，地方政府专项债务还本支出3000万元，自治区提前下达转移支付补助支出3829.69万元。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iOTgxNjFkMDM5YWQzZWM1YzAzMTczNjJmODA3NWQifQ=="/>
  </w:docVars>
  <w:rsids>
    <w:rsidRoot w:val="00000000"/>
    <w:rsid w:val="07192CA8"/>
    <w:rsid w:val="081B54CF"/>
    <w:rsid w:val="0D3046CC"/>
    <w:rsid w:val="0F271A38"/>
    <w:rsid w:val="11E84674"/>
    <w:rsid w:val="131021CA"/>
    <w:rsid w:val="14DE58BA"/>
    <w:rsid w:val="1C6176BE"/>
    <w:rsid w:val="1E872FF6"/>
    <w:rsid w:val="1EEF78F7"/>
    <w:rsid w:val="27315D1D"/>
    <w:rsid w:val="325D3E6B"/>
    <w:rsid w:val="3C003C3E"/>
    <w:rsid w:val="3E1F46CA"/>
    <w:rsid w:val="3FF766F9"/>
    <w:rsid w:val="40AD06B3"/>
    <w:rsid w:val="55780E38"/>
    <w:rsid w:val="557B6E37"/>
    <w:rsid w:val="55A35789"/>
    <w:rsid w:val="57AA42B0"/>
    <w:rsid w:val="5D392C8C"/>
    <w:rsid w:val="5DA327CA"/>
    <w:rsid w:val="617F354E"/>
    <w:rsid w:val="617F642A"/>
    <w:rsid w:val="69EC374B"/>
    <w:rsid w:val="6E881C94"/>
    <w:rsid w:val="732301DD"/>
    <w:rsid w:val="73614E59"/>
    <w:rsid w:val="76544B8E"/>
    <w:rsid w:val="7D03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2023-05-08T01:23:00Z</dcterms:created>
  <dc:creator>lenovo</dc:creator>
  <cp:lastModifiedBy>Lenovo</cp:lastModifiedBy>
  <dcterms:modified xsi:type="dcterms:W3CDTF">2025-01-26T09:10:51Z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E91E68F1B71E4127AB5314EC7531CDE4_12</vt:lpwstr>
  </property>
</Properties>
</file>