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E73D1">
      <w:pPr>
        <w:spacing w:line="580" w:lineRule="exact"/>
        <w:rPr>
          <w:rFonts w:ascii="黑体" w:eastAsia="黑体"/>
          <w:sz w:val="32"/>
        </w:rPr>
      </w:pPr>
      <w:bookmarkStart w:id="0" w:name="_GoBack"/>
      <w:bookmarkEnd w:id="0"/>
      <w:r>
        <w:rPr>
          <w:rFonts w:hint="eastAsia" w:ascii="黑体" w:eastAsia="黑体"/>
          <w:sz w:val="32"/>
        </w:rPr>
        <w:t>附件1</w:t>
      </w:r>
    </w:p>
    <w:p w14:paraId="36FAB171">
      <w:pPr>
        <w:spacing w:line="580" w:lineRule="exact"/>
        <w:jc w:val="center"/>
        <w:rPr>
          <w:rFonts w:ascii="方正小标宋简体" w:eastAsia="方正小标宋简体"/>
          <w:sz w:val="44"/>
          <w:szCs w:val="44"/>
        </w:rPr>
      </w:pPr>
    </w:p>
    <w:p w14:paraId="6E67EBF7">
      <w:pPr>
        <w:tabs>
          <w:tab w:val="left" w:pos="2054"/>
          <w:tab w:val="center" w:pos="4536"/>
        </w:tabs>
        <w:spacing w:line="580" w:lineRule="exact"/>
        <w:jc w:val="left"/>
        <w:rPr>
          <w:rFonts w:ascii="方正小标宋简体" w:eastAsia="方正小标宋简体"/>
          <w:b/>
          <w:sz w:val="44"/>
          <w:szCs w:val="44"/>
        </w:rPr>
      </w:pPr>
      <w:r>
        <w:rPr>
          <w:rFonts w:ascii="方正小标宋简体" w:eastAsia="方正小标宋简体"/>
          <w:sz w:val="44"/>
          <w:szCs w:val="44"/>
        </w:rPr>
        <w:tab/>
      </w:r>
      <w:r>
        <w:rPr>
          <w:rFonts w:ascii="方正小标宋简体" w:eastAsia="方正小标宋简体"/>
          <w:sz w:val="44"/>
          <w:szCs w:val="44"/>
        </w:rPr>
        <w:tab/>
      </w:r>
      <w:r>
        <w:rPr>
          <w:rFonts w:hint="eastAsia" w:ascii="方正小标宋简体" w:eastAsia="方正小标宋简体"/>
          <w:b/>
          <w:sz w:val="44"/>
          <w:szCs w:val="44"/>
        </w:rPr>
        <w:t>绩效评价业务委托协议</w:t>
      </w:r>
    </w:p>
    <w:p w14:paraId="3B21388B">
      <w:pPr>
        <w:spacing w:line="580" w:lineRule="exact"/>
        <w:jc w:val="center"/>
        <w:rPr>
          <w:rFonts w:ascii="楷体_GB2312" w:eastAsia="楷体_GB2312"/>
          <w:b/>
          <w:sz w:val="32"/>
          <w:szCs w:val="32"/>
        </w:rPr>
      </w:pPr>
      <w:r>
        <w:rPr>
          <w:rFonts w:hint="eastAsia" w:ascii="楷体_GB2312" w:eastAsia="楷体_GB2312"/>
          <w:b/>
          <w:sz w:val="32"/>
          <w:szCs w:val="32"/>
        </w:rPr>
        <w:t>（参考格式）</w:t>
      </w:r>
    </w:p>
    <w:p w14:paraId="1673BDFC">
      <w:pPr>
        <w:spacing w:line="580" w:lineRule="exact"/>
        <w:rPr>
          <w:rFonts w:ascii="仿宋_GB2312" w:eastAsia="仿宋_GB2312"/>
          <w:sz w:val="30"/>
          <w:szCs w:val="30"/>
        </w:rPr>
      </w:pPr>
    </w:p>
    <w:p w14:paraId="29343F28">
      <w:pPr>
        <w:spacing w:line="520" w:lineRule="exact"/>
        <w:rPr>
          <w:rFonts w:ascii="仿宋_GB2312" w:hAnsi="仿宋" w:eastAsia="仿宋_GB2312"/>
          <w:sz w:val="32"/>
          <w:szCs w:val="32"/>
        </w:rPr>
      </w:pPr>
      <w:r>
        <w:rPr>
          <w:rFonts w:hint="eastAsia" w:ascii="仿宋_GB2312" w:hAnsi="仿宋" w:eastAsia="仿宋_GB2312"/>
          <w:sz w:val="32"/>
          <w:szCs w:val="32"/>
        </w:rPr>
        <w:t>委托方（甲方）：评价组织机构</w:t>
      </w:r>
    </w:p>
    <w:p w14:paraId="354868E7">
      <w:pPr>
        <w:spacing w:line="520" w:lineRule="exact"/>
        <w:rPr>
          <w:rFonts w:ascii="仿宋_GB2312" w:hAnsi="仿宋" w:eastAsia="仿宋_GB2312"/>
          <w:sz w:val="32"/>
          <w:szCs w:val="32"/>
        </w:rPr>
      </w:pPr>
      <w:r>
        <w:rPr>
          <w:rFonts w:hint="eastAsia" w:ascii="仿宋_GB2312" w:hAnsi="仿宋" w:eastAsia="仿宋_GB2312"/>
          <w:sz w:val="32"/>
          <w:szCs w:val="32"/>
        </w:rPr>
        <w:t>受托方（乙方）：</w:t>
      </w:r>
      <w:r>
        <w:rPr>
          <w:rFonts w:hint="eastAsia" w:ascii="仿宋_GB2312" w:hAnsi="仿宋" w:eastAsia="仿宋_GB2312"/>
          <w:color w:val="000000"/>
          <w:sz w:val="32"/>
          <w:szCs w:val="32"/>
        </w:rPr>
        <w:t>第三方机构</w:t>
      </w:r>
    </w:p>
    <w:p w14:paraId="4A9B169D">
      <w:pPr>
        <w:pStyle w:val="6"/>
        <w:spacing w:line="520" w:lineRule="exact"/>
        <w:ind w:firstLine="636" w:firstLineChars="199"/>
        <w:rPr>
          <w:rFonts w:hAnsi="仿宋"/>
          <w:sz w:val="32"/>
          <w:szCs w:val="32"/>
        </w:rPr>
      </w:pPr>
      <w:r>
        <w:rPr>
          <w:rFonts w:hAnsi="仿宋"/>
          <w:sz w:val="32"/>
          <w:szCs w:val="32"/>
        </w:rPr>
        <w:t>为做好                   （项目）的绩效评价工作，甲方委托乙方承担具体绩效评价业务，经双方协商，就有关具体事项达成如下协议：</w:t>
      </w:r>
    </w:p>
    <w:p w14:paraId="4D23AD55">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一、被评价项目</w:t>
      </w:r>
    </w:p>
    <w:p w14:paraId="5FAFD044">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二、绩效评价工作的主要内容</w:t>
      </w:r>
    </w:p>
    <w:p w14:paraId="090DC92B">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三、具体评价时间安排：评价工作将于    日到    日间完成，乙方要在     （日期）</w:t>
      </w:r>
      <w:r>
        <w:rPr>
          <w:rFonts w:hint="eastAsia" w:ascii="仿宋_GB2312" w:hAnsi="仿宋" w:eastAsia="仿宋_GB2312"/>
          <w:spacing w:val="2"/>
          <w:sz w:val="32"/>
          <w:szCs w:val="32"/>
        </w:rPr>
        <w:t>前递交绩效评价报告，接受绩效评价报告审核，并根据审核意见修改完善报告，在收到审核意见后</w:t>
      </w:r>
      <w:r>
        <w:rPr>
          <w:rFonts w:hint="eastAsia" w:ascii="仿宋_GB2312" w:hAnsi="仿宋" w:eastAsia="仿宋_GB2312"/>
          <w:sz w:val="32"/>
          <w:szCs w:val="32"/>
        </w:rPr>
        <w:t xml:space="preserve">    日内提交最终评价报告。</w:t>
      </w:r>
    </w:p>
    <w:p w14:paraId="06168D11">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四、签约双方的权利和义务</w:t>
      </w:r>
    </w:p>
    <w:p w14:paraId="01CF6847">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（一）甲方的权利和义务：</w:t>
      </w:r>
    </w:p>
    <w:p w14:paraId="7425CED3">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1.确定评价目的和具体要求；</w:t>
      </w:r>
    </w:p>
    <w:p w14:paraId="779BB845">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2.对乙方评价工作质量进行检查；</w:t>
      </w:r>
    </w:p>
    <w:p w14:paraId="2808BF3A">
      <w:pPr>
        <w:spacing w:line="520" w:lineRule="exact"/>
        <w:ind w:firstLine="614" w:firstLineChars="192"/>
        <w:rPr>
          <w:rFonts w:hint="eastAsia" w:ascii="仿宋_GB2312" w:hAnsi="仿宋" w:eastAsia="仿宋_GB2312"/>
          <w:sz w:val="32"/>
          <w:szCs w:val="32"/>
        </w:rPr>
      </w:pPr>
      <w:r>
        <w:rPr>
          <w:rFonts w:hint="eastAsia" w:ascii="仿宋_GB2312" w:hAnsi="仿宋" w:eastAsia="仿宋_GB2312"/>
          <w:sz w:val="32"/>
          <w:szCs w:val="32"/>
        </w:rPr>
        <w:t>3.审核、批准绩效评价报告；</w:t>
      </w:r>
    </w:p>
    <w:p w14:paraId="1F5680BA">
      <w:pPr>
        <w:spacing w:line="520" w:lineRule="exact"/>
        <w:ind w:firstLine="614" w:firstLineChars="192"/>
        <w:rPr>
          <w:rFonts w:hint="eastAsia" w:ascii="仿宋_GB2312" w:hAnsi="仿宋" w:eastAsia="仿宋_GB2312"/>
          <w:sz w:val="32"/>
          <w:szCs w:val="32"/>
        </w:rPr>
      </w:pPr>
      <w:r>
        <w:rPr>
          <w:rFonts w:hint="eastAsia" w:ascii="仿宋_GB2312" w:hAnsi="仿宋" w:eastAsia="仿宋_GB2312"/>
          <w:sz w:val="32"/>
          <w:szCs w:val="32"/>
        </w:rPr>
        <w:t>4.对委托的事项进行验收；</w:t>
      </w:r>
    </w:p>
    <w:p w14:paraId="5CBEDF46">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5.按协议规定支付评价费用。</w:t>
      </w:r>
    </w:p>
    <w:p w14:paraId="3167254F">
      <w:pPr>
        <w:spacing w:line="520" w:lineRule="exact"/>
        <w:ind w:firstLine="614" w:firstLineChars="192"/>
        <w:rPr>
          <w:rFonts w:hint="eastAsia" w:ascii="仿宋_GB2312" w:hAnsi="仿宋" w:eastAsia="仿宋_GB2312"/>
          <w:sz w:val="32"/>
          <w:szCs w:val="32"/>
        </w:rPr>
      </w:pPr>
      <w:r>
        <w:rPr>
          <w:rFonts w:hint="eastAsia" w:ascii="仿宋_GB2312" w:hAnsi="仿宋" w:eastAsia="仿宋_GB2312"/>
          <w:sz w:val="32"/>
          <w:szCs w:val="32"/>
        </w:rPr>
        <w:t>6.其他</w:t>
      </w:r>
    </w:p>
    <w:p w14:paraId="4CAAF6FB">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（二）乙方的权利和义务：</w:t>
      </w:r>
    </w:p>
    <w:p w14:paraId="29972792">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1.严格按照绩效评价工作的有关规定独立、客观、公正、公平地实施评价；</w:t>
      </w:r>
    </w:p>
    <w:p w14:paraId="3DA8A3CD">
      <w:pPr>
        <w:spacing w:line="520" w:lineRule="exact"/>
        <w:ind w:firstLine="614" w:firstLineChars="192"/>
        <w:rPr>
          <w:rFonts w:hint="eastAsia" w:ascii="仿宋_GB2312" w:hAnsi="仿宋" w:eastAsia="仿宋_GB2312"/>
          <w:sz w:val="32"/>
          <w:szCs w:val="32"/>
        </w:rPr>
      </w:pPr>
      <w:r>
        <w:rPr>
          <w:rFonts w:hint="eastAsia" w:ascii="仿宋_GB2312" w:hAnsi="仿宋" w:eastAsia="仿宋_GB2312"/>
          <w:sz w:val="32"/>
          <w:szCs w:val="32"/>
        </w:rPr>
        <w:t>2.对绩效评价报告的客观性、准确性、真实性负责；</w:t>
      </w:r>
    </w:p>
    <w:p w14:paraId="2CC69D33">
      <w:pPr>
        <w:spacing w:line="520" w:lineRule="exact"/>
        <w:ind w:firstLine="614" w:firstLineChars="192"/>
        <w:rPr>
          <w:rFonts w:hint="eastAsia" w:ascii="仿宋_GB2312" w:hAnsi="仿宋" w:eastAsia="仿宋_GB2312"/>
          <w:sz w:val="32"/>
          <w:szCs w:val="32"/>
        </w:rPr>
      </w:pPr>
      <w:r>
        <w:rPr>
          <w:rFonts w:hint="eastAsia" w:ascii="仿宋_GB2312" w:hAnsi="仿宋" w:eastAsia="仿宋_GB2312"/>
          <w:sz w:val="32"/>
          <w:szCs w:val="32"/>
        </w:rPr>
        <w:t>3.按规定时间完成受托承担的预算绩效管理工作任务；</w:t>
      </w:r>
    </w:p>
    <w:p w14:paraId="46F44891">
      <w:pPr>
        <w:spacing w:line="520" w:lineRule="exact"/>
        <w:ind w:firstLine="614" w:firstLineChars="192"/>
        <w:rPr>
          <w:rFonts w:hint="eastAsia" w:ascii="仿宋_GB2312" w:hAnsi="仿宋" w:eastAsia="仿宋_GB2312"/>
          <w:sz w:val="32"/>
          <w:szCs w:val="32"/>
        </w:rPr>
      </w:pPr>
      <w:r>
        <w:rPr>
          <w:rFonts w:hint="eastAsia" w:ascii="仿宋_GB2312" w:hAnsi="仿宋" w:eastAsia="仿宋_GB2312"/>
          <w:sz w:val="32"/>
          <w:szCs w:val="32"/>
        </w:rPr>
        <w:t>4.在开展受托的预算绩效管理工作中，积极参与甲方的工作组织，提供咨询服务;</w:t>
      </w:r>
    </w:p>
    <w:p w14:paraId="5038A751">
      <w:pPr>
        <w:spacing w:line="520" w:lineRule="exact"/>
        <w:ind w:firstLine="614" w:firstLineChars="192"/>
        <w:rPr>
          <w:rFonts w:hint="eastAsia" w:ascii="仿宋_GB2312" w:hAnsi="仿宋" w:eastAsia="仿宋_GB2312"/>
          <w:sz w:val="32"/>
          <w:szCs w:val="32"/>
        </w:rPr>
      </w:pPr>
      <w:r>
        <w:rPr>
          <w:rFonts w:hint="eastAsia" w:ascii="仿宋_GB2312" w:hAnsi="仿宋" w:eastAsia="仿宋_GB2312"/>
          <w:sz w:val="32"/>
          <w:szCs w:val="32"/>
        </w:rPr>
        <w:t>5.按协议规定收取评价费用。</w:t>
      </w:r>
    </w:p>
    <w:p w14:paraId="2EFAACF8">
      <w:pPr>
        <w:spacing w:line="520" w:lineRule="exact"/>
        <w:ind w:firstLine="614" w:firstLineChars="192"/>
        <w:rPr>
          <w:rFonts w:hint="eastAsia" w:ascii="仿宋_GB2312" w:hAnsi="仿宋" w:eastAsia="仿宋_GB2312"/>
          <w:sz w:val="32"/>
          <w:szCs w:val="32"/>
        </w:rPr>
      </w:pPr>
      <w:r>
        <w:rPr>
          <w:rFonts w:hint="eastAsia" w:ascii="仿宋_GB2312" w:hAnsi="仿宋" w:eastAsia="仿宋_GB2312"/>
          <w:sz w:val="32"/>
          <w:szCs w:val="32"/>
        </w:rPr>
        <w:t>6.其他</w:t>
      </w:r>
    </w:p>
    <w:p w14:paraId="52163323">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五、评价费用与支付方式</w:t>
      </w:r>
    </w:p>
    <w:p w14:paraId="2FB4D769">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经双方协商，本项目评价费用为       （大写），实行分期支付，协议签订后先预付       （大写），评价工作结束，评价报告得到批准后，支付余额部分。</w:t>
      </w:r>
    </w:p>
    <w:p w14:paraId="54906649">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六、违约责任</w:t>
      </w:r>
    </w:p>
    <w:p w14:paraId="08FF5B49">
      <w:pPr>
        <w:spacing w:line="520" w:lineRule="exact"/>
        <w:ind w:firstLine="591" w:firstLineChars="192"/>
        <w:rPr>
          <w:rFonts w:ascii="仿宋_GB2312" w:hAnsi="仿宋" w:eastAsia="仿宋_GB2312"/>
          <w:spacing w:val="-6"/>
          <w:sz w:val="32"/>
          <w:szCs w:val="32"/>
        </w:rPr>
      </w:pPr>
      <w:r>
        <w:rPr>
          <w:rFonts w:hint="eastAsia" w:ascii="仿宋_GB2312" w:hAnsi="仿宋" w:eastAsia="仿宋_GB2312"/>
          <w:spacing w:val="-6"/>
          <w:sz w:val="32"/>
          <w:szCs w:val="32"/>
        </w:rPr>
        <w:t>甲方未按本协议规定支付评价费用的，乙方有权终止评价工作。</w:t>
      </w:r>
    </w:p>
    <w:p w14:paraId="31970D05">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乙方未按协议规定进行评价的，或评价质量达不到要求的，甲方可视具体情况拒付部分或全部评价费用。</w:t>
      </w:r>
    </w:p>
    <w:p w14:paraId="355C6585">
      <w:pPr>
        <w:spacing w:line="520" w:lineRule="exact"/>
        <w:ind w:firstLine="614" w:firstLineChars="192"/>
        <w:rPr>
          <w:rFonts w:ascii="仿宋_GB2312" w:hAnsi="仿宋" w:eastAsia="仿宋_GB2312"/>
          <w:sz w:val="32"/>
          <w:szCs w:val="32"/>
        </w:rPr>
      </w:pPr>
      <w:r>
        <w:rPr>
          <w:rFonts w:hint="eastAsia" w:ascii="仿宋_GB2312" w:hAnsi="仿宋" w:eastAsia="仿宋_GB2312"/>
          <w:sz w:val="32"/>
          <w:szCs w:val="32"/>
        </w:rPr>
        <w:t>七、其他事项。其他未尽或特殊事项，由甲乙双方协商解决。协商不成的，可提请仲裁机构仲裁或向人民法院提起诉讼。</w:t>
      </w:r>
    </w:p>
    <w:p w14:paraId="1ACBFEB5">
      <w:pPr>
        <w:spacing w:line="520" w:lineRule="exact"/>
        <w:ind w:firstLine="600"/>
        <w:rPr>
          <w:rFonts w:ascii="仿宋_GB2312" w:hAnsi="仿宋" w:eastAsia="仿宋_GB2312"/>
          <w:sz w:val="32"/>
          <w:szCs w:val="32"/>
        </w:rPr>
      </w:pPr>
      <w:r>
        <w:rPr>
          <w:rFonts w:hint="eastAsia" w:ascii="仿宋_GB2312" w:hAnsi="仿宋" w:eastAsia="仿宋_GB2312"/>
          <w:sz w:val="32"/>
          <w:szCs w:val="32"/>
        </w:rPr>
        <w:t>八、本协议经双方负责人签章后生效，协议规定事项完成后自动失效。</w:t>
      </w:r>
    </w:p>
    <w:p w14:paraId="05D9D48D">
      <w:pPr>
        <w:spacing w:line="520" w:lineRule="exact"/>
        <w:ind w:firstLine="600"/>
        <w:rPr>
          <w:rFonts w:hint="eastAsia" w:ascii="仿宋_GB2312" w:hAnsi="仿宋" w:eastAsia="仿宋_GB2312"/>
          <w:sz w:val="32"/>
          <w:szCs w:val="32"/>
        </w:rPr>
      </w:pPr>
      <w:r>
        <w:rPr>
          <w:rFonts w:hint="eastAsia" w:ascii="仿宋_GB2312" w:hAnsi="仿宋" w:eastAsia="仿宋_GB2312"/>
          <w:sz w:val="32"/>
          <w:szCs w:val="32"/>
        </w:rPr>
        <w:t>九、本协议一式2份，甲、乙双方各执1份。</w:t>
      </w:r>
    </w:p>
    <w:p w14:paraId="721E4AD1">
      <w:pPr>
        <w:spacing w:line="520" w:lineRule="exact"/>
        <w:ind w:firstLine="600"/>
        <w:rPr>
          <w:rFonts w:hint="eastAsia" w:ascii="仿宋_GB2312" w:hAnsi="仿宋" w:eastAsia="仿宋_GB2312"/>
          <w:sz w:val="32"/>
          <w:szCs w:val="32"/>
        </w:rPr>
      </w:pPr>
      <w:r>
        <w:rPr>
          <w:rFonts w:hint="eastAsia" w:ascii="仿宋_GB2312" w:hAnsi="仿宋" w:eastAsia="仿宋_GB2312"/>
          <w:sz w:val="32"/>
          <w:szCs w:val="32"/>
        </w:rPr>
        <w:t>十、本协议未尽事宜，由甲、乙双方协商解决。</w:t>
      </w:r>
    </w:p>
    <w:p w14:paraId="12049207">
      <w:pPr>
        <w:spacing w:line="580" w:lineRule="exact"/>
        <w:ind w:firstLine="320" w:firstLineChars="100"/>
        <w:rPr>
          <w:rFonts w:ascii="仿宋_GB2312" w:hAnsi="仿宋" w:eastAsia="仿宋_GB2312"/>
          <w:sz w:val="32"/>
          <w:szCs w:val="32"/>
        </w:rPr>
      </w:pPr>
      <w:r>
        <w:rPr>
          <w:rFonts w:hint="eastAsia" w:ascii="仿宋_GB2312" w:hAnsi="仿宋" w:eastAsia="仿宋_GB2312"/>
          <w:sz w:val="32"/>
          <w:szCs w:val="32"/>
        </w:rPr>
        <w:t>甲方（盖章）：                乙方（盖章）：</w:t>
      </w:r>
    </w:p>
    <w:p w14:paraId="5413330F">
      <w:pPr>
        <w:spacing w:line="580" w:lineRule="exact"/>
        <w:ind w:firstLine="320" w:firstLineChars="100"/>
        <w:rPr>
          <w:rFonts w:ascii="仿宋_GB2312" w:hAnsi="仿宋" w:eastAsia="仿宋_GB2312"/>
          <w:sz w:val="32"/>
          <w:szCs w:val="32"/>
        </w:rPr>
      </w:pPr>
      <w:r>
        <w:rPr>
          <w:rFonts w:hint="eastAsia" w:ascii="仿宋_GB2312" w:hAnsi="仿宋" w:eastAsia="仿宋_GB2312"/>
          <w:sz w:val="32"/>
          <w:szCs w:val="32"/>
        </w:rPr>
        <w:t>负责人：（签字）              负责人：（签字）</w:t>
      </w:r>
    </w:p>
    <w:p w14:paraId="34B1B23C">
      <w:pPr>
        <w:spacing w:line="580" w:lineRule="exact"/>
        <w:ind w:firstLine="320" w:firstLineChars="100"/>
        <w:rPr>
          <w:rFonts w:ascii="仿宋_GB2312" w:eastAsia="仿宋_GB2312"/>
          <w:sz w:val="32"/>
          <w:szCs w:val="32"/>
        </w:rPr>
      </w:pPr>
      <w:r>
        <w:rPr>
          <w:rFonts w:hint="eastAsia" w:ascii="仿宋_GB2312" w:hAnsi="仿宋" w:eastAsia="仿宋_GB2312"/>
          <w:sz w:val="32"/>
          <w:szCs w:val="32"/>
        </w:rPr>
        <w:t>签约时间：   年  月  日      签约时间：   年  月  日</w:t>
      </w:r>
    </w:p>
    <w:p w14:paraId="76A05826">
      <w:pPr>
        <w:rPr>
          <w:rFonts w:hint="eastAsia" w:ascii="仿宋_GB2312" w:eastAsia="仿宋_GB2312"/>
          <w:sz w:val="32"/>
          <w:szCs w:val="32"/>
        </w:rPr>
      </w:pPr>
    </w:p>
    <w:p w14:paraId="13360596">
      <w:pPr>
        <w:spacing w:line="520" w:lineRule="exact"/>
        <w:rPr>
          <w:rFonts w:hint="eastAsia" w:ascii="仿宋_GB2312" w:eastAsia="仿宋_GB2312"/>
          <w:sz w:val="32"/>
          <w:szCs w:val="32"/>
        </w:rPr>
      </w:pPr>
      <w:r>
        <w:rPr>
          <w:rFonts w:hint="eastAsia" w:ascii="仿宋_GB2312" w:eastAsia="仿宋_GB2312"/>
          <w:sz w:val="32"/>
          <w:szCs w:val="32"/>
        </w:rPr>
        <w:t>附件2</w:t>
      </w:r>
    </w:p>
    <w:p w14:paraId="0F276A06">
      <w:pPr>
        <w:spacing w:line="520" w:lineRule="exact"/>
        <w:jc w:val="center"/>
        <w:rPr>
          <w:rFonts w:hint="eastAsia" w:ascii="宋体" w:hAnsi="宋体"/>
          <w:sz w:val="36"/>
          <w:szCs w:val="36"/>
        </w:rPr>
      </w:pPr>
      <w:r>
        <w:rPr>
          <w:rFonts w:hint="eastAsia" w:ascii="宋体" w:hAnsi="宋体"/>
          <w:sz w:val="36"/>
          <w:szCs w:val="36"/>
        </w:rPr>
        <w:t>委托第三方定额计费办法</w:t>
      </w:r>
    </w:p>
    <w:tbl>
      <w:tblPr>
        <w:tblStyle w:val="7"/>
        <w:tblW w:w="8997" w:type="dxa"/>
        <w:jc w:val="center"/>
        <w:tblLayout w:type="autofit"/>
        <w:tblCellMar>
          <w:top w:w="0" w:type="dxa"/>
          <w:left w:w="108" w:type="dxa"/>
          <w:bottom w:w="0" w:type="dxa"/>
          <w:right w:w="108" w:type="dxa"/>
        </w:tblCellMar>
      </w:tblPr>
      <w:tblGrid>
        <w:gridCol w:w="648"/>
        <w:gridCol w:w="3780"/>
        <w:gridCol w:w="4569"/>
      </w:tblGrid>
      <w:tr w14:paraId="122DB351">
        <w:tblPrEx>
          <w:tblCellMar>
            <w:top w:w="0" w:type="dxa"/>
            <w:left w:w="108" w:type="dxa"/>
            <w:bottom w:w="0" w:type="dxa"/>
            <w:right w:w="108" w:type="dxa"/>
          </w:tblCellMar>
        </w:tblPrEx>
        <w:trPr>
          <w:trHeight w:val="1242" w:hRule="atLeast"/>
          <w:jc w:val="center"/>
        </w:trPr>
        <w:tc>
          <w:tcPr>
            <w:tcW w:w="8997" w:type="dxa"/>
            <w:gridSpan w:val="3"/>
            <w:tcBorders>
              <w:top w:val="nil"/>
              <w:left w:val="nil"/>
              <w:bottom w:val="nil"/>
              <w:right w:val="nil"/>
            </w:tcBorders>
            <w:noWrap/>
            <w:vAlign w:val="center"/>
          </w:tcPr>
          <w:p w14:paraId="6B94264A">
            <w:pPr>
              <w:widowControl/>
              <w:spacing w:line="520" w:lineRule="exact"/>
              <w:rPr>
                <w:rFonts w:hint="eastAsia" w:ascii="宋体" w:hAnsi="宋体" w:cs="宋体"/>
                <w:kern w:val="0"/>
                <w:sz w:val="24"/>
              </w:rPr>
            </w:pPr>
            <w:r>
              <w:rPr>
                <w:rFonts w:hint="eastAsia" w:ascii="宋体" w:hAnsi="宋体" w:cs="宋体"/>
                <w:kern w:val="0"/>
                <w:sz w:val="24"/>
              </w:rPr>
              <w:t>定额计费按照委托评价项目的金额大小和工作量大小划分费用档次标准，按照不同</w:t>
            </w:r>
          </w:p>
          <w:p w14:paraId="4B8F0F05">
            <w:pPr>
              <w:widowControl/>
              <w:spacing w:line="520" w:lineRule="exact"/>
              <w:rPr>
                <w:rFonts w:ascii="宋体" w:hAnsi="宋体" w:cs="宋体"/>
                <w:kern w:val="0"/>
                <w:sz w:val="28"/>
                <w:szCs w:val="28"/>
              </w:rPr>
            </w:pPr>
            <w:r>
              <w:rPr>
                <w:rFonts w:hint="eastAsia" w:ascii="宋体" w:hAnsi="宋体" w:cs="宋体"/>
                <w:kern w:val="0"/>
                <w:sz w:val="24"/>
              </w:rPr>
              <w:t>档次标准实行定额支付，付费计算公式为：绩效评价付费额=基本付费额（1+系数）。</w:t>
            </w:r>
          </w:p>
        </w:tc>
      </w:tr>
      <w:tr w14:paraId="7FBFBA1F">
        <w:tblPrEx>
          <w:tblCellMar>
            <w:top w:w="0" w:type="dxa"/>
            <w:left w:w="108" w:type="dxa"/>
            <w:bottom w:w="0" w:type="dxa"/>
            <w:right w:w="108" w:type="dxa"/>
          </w:tblCellMar>
        </w:tblPrEx>
        <w:trPr>
          <w:trHeight w:val="454" w:hRule="atLeast"/>
          <w:jc w:val="center"/>
        </w:trPr>
        <w:tc>
          <w:tcPr>
            <w:tcW w:w="8997" w:type="dxa"/>
            <w:gridSpan w:val="3"/>
            <w:tcBorders>
              <w:top w:val="single" w:color="auto" w:sz="4" w:space="0"/>
              <w:left w:val="single" w:color="auto" w:sz="4" w:space="0"/>
              <w:bottom w:val="single" w:color="auto" w:sz="4" w:space="0"/>
              <w:right w:val="single" w:color="000000" w:sz="4" w:space="0"/>
            </w:tcBorders>
            <w:noWrap/>
            <w:vAlign w:val="center"/>
          </w:tcPr>
          <w:p w14:paraId="2F119657">
            <w:pPr>
              <w:widowControl/>
              <w:jc w:val="left"/>
              <w:rPr>
                <w:rFonts w:ascii="宋体" w:hAnsi="宋体" w:cs="宋体"/>
                <w:kern w:val="0"/>
                <w:sz w:val="28"/>
                <w:szCs w:val="28"/>
              </w:rPr>
            </w:pPr>
            <w:r>
              <w:rPr>
                <w:rFonts w:hint="eastAsia" w:ascii="宋体" w:hAnsi="宋体" w:cs="宋体"/>
                <w:kern w:val="0"/>
                <w:sz w:val="28"/>
                <w:szCs w:val="28"/>
              </w:rPr>
              <w:t>一、基本付费额</w:t>
            </w:r>
          </w:p>
        </w:tc>
      </w:tr>
      <w:tr w14:paraId="3BA28258">
        <w:tblPrEx>
          <w:tblCellMar>
            <w:top w:w="0" w:type="dxa"/>
            <w:left w:w="108" w:type="dxa"/>
            <w:bottom w:w="0" w:type="dxa"/>
            <w:right w:w="108" w:type="dxa"/>
          </w:tblCellMar>
        </w:tblPrEx>
        <w:trPr>
          <w:trHeight w:val="761" w:hRule="atLeast"/>
          <w:jc w:val="center"/>
        </w:trPr>
        <w:tc>
          <w:tcPr>
            <w:tcW w:w="648" w:type="dxa"/>
            <w:tcBorders>
              <w:top w:val="nil"/>
              <w:left w:val="single" w:color="auto" w:sz="4" w:space="0"/>
              <w:bottom w:val="single" w:color="auto" w:sz="4" w:space="0"/>
              <w:right w:val="single" w:color="auto" w:sz="4" w:space="0"/>
            </w:tcBorders>
            <w:noWrap/>
            <w:vAlign w:val="center"/>
          </w:tcPr>
          <w:p w14:paraId="13C137D2">
            <w:pPr>
              <w:widowControl/>
              <w:spacing w:line="300" w:lineRule="exact"/>
              <w:jc w:val="center"/>
              <w:rPr>
                <w:rFonts w:ascii="宋体" w:hAnsi="宋体" w:cs="宋体"/>
                <w:kern w:val="0"/>
                <w:sz w:val="28"/>
                <w:szCs w:val="28"/>
              </w:rPr>
            </w:pPr>
            <w:r>
              <w:rPr>
                <w:rFonts w:hint="eastAsia" w:ascii="宋体" w:hAnsi="宋体" w:cs="宋体"/>
                <w:kern w:val="0"/>
                <w:sz w:val="28"/>
                <w:szCs w:val="28"/>
              </w:rPr>
              <w:t>档次</w:t>
            </w:r>
          </w:p>
        </w:tc>
        <w:tc>
          <w:tcPr>
            <w:tcW w:w="3780" w:type="dxa"/>
            <w:tcBorders>
              <w:top w:val="single" w:color="auto" w:sz="4" w:space="0"/>
              <w:left w:val="nil"/>
              <w:bottom w:val="single" w:color="auto" w:sz="4" w:space="0"/>
              <w:right w:val="single" w:color="auto" w:sz="4" w:space="0"/>
            </w:tcBorders>
            <w:noWrap/>
            <w:vAlign w:val="center"/>
          </w:tcPr>
          <w:p w14:paraId="04D195C6">
            <w:pPr>
              <w:widowControl/>
              <w:jc w:val="center"/>
              <w:rPr>
                <w:rFonts w:ascii="宋体" w:hAnsi="宋体" w:cs="宋体"/>
                <w:kern w:val="0"/>
                <w:sz w:val="28"/>
                <w:szCs w:val="28"/>
              </w:rPr>
            </w:pPr>
            <w:r>
              <w:rPr>
                <w:rFonts w:hint="eastAsia" w:ascii="宋体" w:hAnsi="宋体" w:cs="宋体"/>
                <w:kern w:val="0"/>
                <w:sz w:val="28"/>
                <w:szCs w:val="28"/>
              </w:rPr>
              <w:t>评价对象资金（万元）</w:t>
            </w:r>
          </w:p>
        </w:tc>
        <w:tc>
          <w:tcPr>
            <w:tcW w:w="4569" w:type="dxa"/>
            <w:tcBorders>
              <w:top w:val="nil"/>
              <w:left w:val="nil"/>
              <w:bottom w:val="single" w:color="auto" w:sz="4" w:space="0"/>
              <w:right w:val="single" w:color="auto" w:sz="4" w:space="0"/>
            </w:tcBorders>
            <w:noWrap/>
            <w:vAlign w:val="center"/>
          </w:tcPr>
          <w:p w14:paraId="332DDDA7">
            <w:pPr>
              <w:widowControl/>
              <w:jc w:val="center"/>
              <w:rPr>
                <w:rFonts w:ascii="宋体" w:hAnsi="宋体" w:cs="宋体"/>
                <w:kern w:val="0"/>
                <w:sz w:val="28"/>
                <w:szCs w:val="28"/>
              </w:rPr>
            </w:pPr>
            <w:r>
              <w:rPr>
                <w:rFonts w:hint="eastAsia" w:ascii="宋体" w:hAnsi="宋体" w:cs="宋体"/>
                <w:kern w:val="0"/>
                <w:sz w:val="28"/>
                <w:szCs w:val="28"/>
              </w:rPr>
              <w:t>差额费率（0%）</w:t>
            </w:r>
          </w:p>
        </w:tc>
      </w:tr>
      <w:tr w14:paraId="128711A5">
        <w:tblPrEx>
          <w:tblCellMar>
            <w:top w:w="0" w:type="dxa"/>
            <w:left w:w="108" w:type="dxa"/>
            <w:bottom w:w="0" w:type="dxa"/>
            <w:right w:w="108" w:type="dxa"/>
          </w:tblCellMar>
        </w:tblPrEx>
        <w:trPr>
          <w:trHeight w:val="559" w:hRule="atLeast"/>
          <w:jc w:val="center"/>
        </w:trPr>
        <w:tc>
          <w:tcPr>
            <w:tcW w:w="648" w:type="dxa"/>
            <w:tcBorders>
              <w:top w:val="nil"/>
              <w:left w:val="single" w:color="auto" w:sz="4" w:space="0"/>
              <w:bottom w:val="single" w:color="auto" w:sz="4" w:space="0"/>
              <w:right w:val="single" w:color="auto" w:sz="4" w:space="0"/>
            </w:tcBorders>
            <w:noWrap/>
            <w:vAlign w:val="center"/>
          </w:tcPr>
          <w:p w14:paraId="6CB342D1">
            <w:pPr>
              <w:widowControl/>
              <w:jc w:val="center"/>
              <w:rPr>
                <w:rFonts w:ascii="宋体" w:hAnsi="宋体" w:cs="宋体"/>
                <w:kern w:val="0"/>
                <w:sz w:val="28"/>
                <w:szCs w:val="28"/>
              </w:rPr>
            </w:pPr>
            <w:r>
              <w:rPr>
                <w:rFonts w:hint="eastAsia" w:ascii="宋体" w:hAnsi="宋体" w:cs="宋体"/>
                <w:kern w:val="0"/>
                <w:sz w:val="28"/>
                <w:szCs w:val="28"/>
              </w:rPr>
              <w:t>1</w:t>
            </w:r>
          </w:p>
        </w:tc>
        <w:tc>
          <w:tcPr>
            <w:tcW w:w="3780" w:type="dxa"/>
            <w:tcBorders>
              <w:top w:val="single" w:color="auto" w:sz="4" w:space="0"/>
              <w:left w:val="nil"/>
              <w:bottom w:val="single" w:color="auto" w:sz="4" w:space="0"/>
              <w:right w:val="single" w:color="auto" w:sz="4" w:space="0"/>
            </w:tcBorders>
            <w:noWrap/>
            <w:vAlign w:val="center"/>
          </w:tcPr>
          <w:p w14:paraId="5FA6B1D5">
            <w:pPr>
              <w:widowControl/>
              <w:jc w:val="left"/>
              <w:rPr>
                <w:rFonts w:ascii="宋体" w:hAnsi="宋体" w:cs="宋体"/>
                <w:kern w:val="0"/>
                <w:sz w:val="28"/>
                <w:szCs w:val="28"/>
              </w:rPr>
            </w:pPr>
            <w:r>
              <w:rPr>
                <w:rFonts w:hint="eastAsia" w:ascii="宋体" w:hAnsi="宋体" w:cs="宋体"/>
                <w:kern w:val="0"/>
                <w:sz w:val="28"/>
                <w:szCs w:val="28"/>
              </w:rPr>
              <w:t>100以下</w:t>
            </w:r>
          </w:p>
        </w:tc>
        <w:tc>
          <w:tcPr>
            <w:tcW w:w="4569" w:type="dxa"/>
            <w:tcBorders>
              <w:top w:val="nil"/>
              <w:left w:val="nil"/>
              <w:bottom w:val="single" w:color="auto" w:sz="4" w:space="0"/>
              <w:right w:val="single" w:color="auto" w:sz="4" w:space="0"/>
            </w:tcBorders>
            <w:noWrap/>
            <w:vAlign w:val="center"/>
          </w:tcPr>
          <w:p w14:paraId="594AF527">
            <w:pPr>
              <w:widowControl/>
              <w:jc w:val="center"/>
              <w:rPr>
                <w:rFonts w:ascii="宋体" w:hAnsi="宋体" w:cs="宋体"/>
                <w:kern w:val="0"/>
                <w:sz w:val="28"/>
                <w:szCs w:val="28"/>
              </w:rPr>
            </w:pPr>
            <w:r>
              <w:rPr>
                <w:rFonts w:hint="eastAsia" w:ascii="宋体" w:hAnsi="宋体" w:cs="宋体"/>
                <w:kern w:val="0"/>
                <w:sz w:val="28"/>
                <w:szCs w:val="28"/>
              </w:rPr>
              <w:t>10‰</w:t>
            </w:r>
          </w:p>
        </w:tc>
      </w:tr>
      <w:tr w14:paraId="4D3CCCD4">
        <w:tblPrEx>
          <w:tblCellMar>
            <w:top w:w="0" w:type="dxa"/>
            <w:left w:w="108" w:type="dxa"/>
            <w:bottom w:w="0" w:type="dxa"/>
            <w:right w:w="108" w:type="dxa"/>
          </w:tblCellMar>
        </w:tblPrEx>
        <w:trPr>
          <w:trHeight w:val="559" w:hRule="atLeast"/>
          <w:jc w:val="center"/>
        </w:trPr>
        <w:tc>
          <w:tcPr>
            <w:tcW w:w="648" w:type="dxa"/>
            <w:tcBorders>
              <w:top w:val="nil"/>
              <w:left w:val="single" w:color="auto" w:sz="4" w:space="0"/>
              <w:bottom w:val="single" w:color="auto" w:sz="4" w:space="0"/>
              <w:right w:val="single" w:color="auto" w:sz="4" w:space="0"/>
            </w:tcBorders>
            <w:noWrap/>
            <w:vAlign w:val="center"/>
          </w:tcPr>
          <w:p w14:paraId="64C3C39B">
            <w:pPr>
              <w:widowControl/>
              <w:jc w:val="center"/>
              <w:rPr>
                <w:rFonts w:ascii="宋体" w:hAnsi="宋体" w:cs="宋体"/>
                <w:kern w:val="0"/>
                <w:sz w:val="28"/>
                <w:szCs w:val="28"/>
              </w:rPr>
            </w:pPr>
            <w:r>
              <w:rPr>
                <w:rFonts w:hint="eastAsia" w:ascii="宋体" w:hAnsi="宋体" w:cs="宋体"/>
                <w:kern w:val="0"/>
                <w:sz w:val="28"/>
                <w:szCs w:val="28"/>
              </w:rPr>
              <w:t>2</w:t>
            </w:r>
          </w:p>
        </w:tc>
        <w:tc>
          <w:tcPr>
            <w:tcW w:w="3780" w:type="dxa"/>
            <w:tcBorders>
              <w:top w:val="single" w:color="auto" w:sz="4" w:space="0"/>
              <w:left w:val="nil"/>
              <w:bottom w:val="single" w:color="auto" w:sz="4" w:space="0"/>
              <w:right w:val="single" w:color="auto" w:sz="4" w:space="0"/>
            </w:tcBorders>
            <w:noWrap/>
            <w:vAlign w:val="center"/>
          </w:tcPr>
          <w:p w14:paraId="3E562AA0">
            <w:pPr>
              <w:widowControl/>
              <w:jc w:val="left"/>
              <w:rPr>
                <w:rFonts w:ascii="宋体" w:hAnsi="宋体" w:cs="宋体"/>
                <w:w w:val="80"/>
                <w:kern w:val="0"/>
                <w:sz w:val="28"/>
                <w:szCs w:val="28"/>
              </w:rPr>
            </w:pPr>
            <w:r>
              <w:rPr>
                <w:rFonts w:hint="eastAsia" w:ascii="宋体" w:hAnsi="宋体" w:cs="宋体"/>
                <w:w w:val="80"/>
                <w:kern w:val="0"/>
                <w:sz w:val="28"/>
                <w:szCs w:val="28"/>
              </w:rPr>
              <w:t>100以上（含100）-1000（含1000）</w:t>
            </w:r>
          </w:p>
        </w:tc>
        <w:tc>
          <w:tcPr>
            <w:tcW w:w="4569" w:type="dxa"/>
            <w:tcBorders>
              <w:top w:val="nil"/>
              <w:left w:val="nil"/>
              <w:bottom w:val="single" w:color="auto" w:sz="4" w:space="0"/>
              <w:right w:val="single" w:color="auto" w:sz="4" w:space="0"/>
            </w:tcBorders>
            <w:noWrap/>
            <w:vAlign w:val="center"/>
          </w:tcPr>
          <w:p w14:paraId="0A95CE88">
            <w:pPr>
              <w:widowControl/>
              <w:jc w:val="center"/>
              <w:rPr>
                <w:rFonts w:ascii="宋体" w:hAnsi="宋体" w:cs="宋体"/>
                <w:kern w:val="0"/>
                <w:sz w:val="28"/>
                <w:szCs w:val="28"/>
              </w:rPr>
            </w:pPr>
            <w:r>
              <w:rPr>
                <w:rFonts w:hint="eastAsia" w:ascii="宋体" w:hAnsi="宋体" w:cs="宋体"/>
                <w:kern w:val="0"/>
                <w:sz w:val="28"/>
                <w:szCs w:val="28"/>
              </w:rPr>
              <w:t>2.5‰</w:t>
            </w:r>
          </w:p>
        </w:tc>
      </w:tr>
      <w:tr w14:paraId="6BFD1B96">
        <w:tblPrEx>
          <w:tblCellMar>
            <w:top w:w="0" w:type="dxa"/>
            <w:left w:w="108" w:type="dxa"/>
            <w:bottom w:w="0" w:type="dxa"/>
            <w:right w:w="108" w:type="dxa"/>
          </w:tblCellMar>
        </w:tblPrEx>
        <w:trPr>
          <w:trHeight w:val="559" w:hRule="atLeast"/>
          <w:jc w:val="center"/>
        </w:trPr>
        <w:tc>
          <w:tcPr>
            <w:tcW w:w="648" w:type="dxa"/>
            <w:tcBorders>
              <w:top w:val="nil"/>
              <w:left w:val="single" w:color="auto" w:sz="4" w:space="0"/>
              <w:bottom w:val="single" w:color="auto" w:sz="4" w:space="0"/>
              <w:right w:val="single" w:color="auto" w:sz="4" w:space="0"/>
            </w:tcBorders>
            <w:noWrap/>
            <w:vAlign w:val="center"/>
          </w:tcPr>
          <w:p w14:paraId="2FBD4332">
            <w:pPr>
              <w:widowControl/>
              <w:jc w:val="center"/>
              <w:rPr>
                <w:rFonts w:ascii="宋体" w:hAnsi="宋体" w:cs="宋体"/>
                <w:kern w:val="0"/>
                <w:sz w:val="28"/>
                <w:szCs w:val="28"/>
              </w:rPr>
            </w:pPr>
            <w:r>
              <w:rPr>
                <w:rFonts w:hint="eastAsia" w:ascii="宋体" w:hAnsi="宋体" w:cs="宋体"/>
                <w:kern w:val="0"/>
                <w:sz w:val="28"/>
                <w:szCs w:val="28"/>
              </w:rPr>
              <w:t>3</w:t>
            </w:r>
          </w:p>
        </w:tc>
        <w:tc>
          <w:tcPr>
            <w:tcW w:w="3780" w:type="dxa"/>
            <w:tcBorders>
              <w:top w:val="single" w:color="auto" w:sz="4" w:space="0"/>
              <w:left w:val="nil"/>
              <w:bottom w:val="single" w:color="auto" w:sz="4" w:space="0"/>
              <w:right w:val="single" w:color="auto" w:sz="4" w:space="0"/>
            </w:tcBorders>
            <w:noWrap/>
            <w:vAlign w:val="center"/>
          </w:tcPr>
          <w:p w14:paraId="5E4E5D25">
            <w:pPr>
              <w:widowControl/>
              <w:jc w:val="left"/>
              <w:rPr>
                <w:rFonts w:ascii="宋体" w:hAnsi="宋体" w:cs="宋体"/>
                <w:kern w:val="0"/>
                <w:sz w:val="28"/>
                <w:szCs w:val="28"/>
              </w:rPr>
            </w:pPr>
            <w:r>
              <w:rPr>
                <w:rFonts w:hint="eastAsia" w:ascii="宋体" w:hAnsi="宋体" w:cs="宋体"/>
                <w:kern w:val="0"/>
                <w:sz w:val="28"/>
                <w:szCs w:val="28"/>
              </w:rPr>
              <w:t>1000以上-3000（含3000）</w:t>
            </w:r>
          </w:p>
        </w:tc>
        <w:tc>
          <w:tcPr>
            <w:tcW w:w="4569" w:type="dxa"/>
            <w:tcBorders>
              <w:top w:val="nil"/>
              <w:left w:val="nil"/>
              <w:bottom w:val="single" w:color="auto" w:sz="4" w:space="0"/>
              <w:right w:val="single" w:color="auto" w:sz="4" w:space="0"/>
            </w:tcBorders>
            <w:noWrap/>
            <w:vAlign w:val="center"/>
          </w:tcPr>
          <w:p w14:paraId="5EE5B962">
            <w:pPr>
              <w:widowControl/>
              <w:jc w:val="center"/>
              <w:rPr>
                <w:rFonts w:ascii="宋体" w:hAnsi="宋体" w:cs="宋体"/>
                <w:kern w:val="0"/>
                <w:sz w:val="28"/>
                <w:szCs w:val="28"/>
              </w:rPr>
            </w:pPr>
            <w:r>
              <w:rPr>
                <w:rFonts w:hint="eastAsia" w:ascii="宋体" w:hAnsi="宋体" w:cs="宋体"/>
                <w:kern w:val="0"/>
                <w:sz w:val="28"/>
                <w:szCs w:val="28"/>
              </w:rPr>
              <w:t>1.2‰</w:t>
            </w:r>
          </w:p>
        </w:tc>
      </w:tr>
      <w:tr w14:paraId="0D067D45">
        <w:tblPrEx>
          <w:tblCellMar>
            <w:top w:w="0" w:type="dxa"/>
            <w:left w:w="108" w:type="dxa"/>
            <w:bottom w:w="0" w:type="dxa"/>
            <w:right w:w="108" w:type="dxa"/>
          </w:tblCellMar>
        </w:tblPrEx>
        <w:trPr>
          <w:trHeight w:val="559" w:hRule="atLeast"/>
          <w:jc w:val="center"/>
        </w:trPr>
        <w:tc>
          <w:tcPr>
            <w:tcW w:w="648" w:type="dxa"/>
            <w:tcBorders>
              <w:top w:val="nil"/>
              <w:left w:val="single" w:color="auto" w:sz="4" w:space="0"/>
              <w:bottom w:val="single" w:color="auto" w:sz="4" w:space="0"/>
              <w:right w:val="single" w:color="auto" w:sz="4" w:space="0"/>
            </w:tcBorders>
            <w:noWrap/>
            <w:vAlign w:val="center"/>
          </w:tcPr>
          <w:p w14:paraId="1458F973">
            <w:pPr>
              <w:widowControl/>
              <w:jc w:val="center"/>
              <w:rPr>
                <w:rFonts w:ascii="宋体" w:hAnsi="宋体" w:cs="宋体"/>
                <w:kern w:val="0"/>
                <w:sz w:val="28"/>
                <w:szCs w:val="28"/>
              </w:rPr>
            </w:pPr>
            <w:r>
              <w:rPr>
                <w:rFonts w:hint="eastAsia" w:ascii="宋体" w:hAnsi="宋体" w:cs="宋体"/>
                <w:kern w:val="0"/>
                <w:sz w:val="28"/>
                <w:szCs w:val="28"/>
              </w:rPr>
              <w:t>4</w:t>
            </w:r>
          </w:p>
        </w:tc>
        <w:tc>
          <w:tcPr>
            <w:tcW w:w="3780" w:type="dxa"/>
            <w:tcBorders>
              <w:top w:val="single" w:color="auto" w:sz="4" w:space="0"/>
              <w:left w:val="nil"/>
              <w:bottom w:val="single" w:color="auto" w:sz="4" w:space="0"/>
              <w:right w:val="single" w:color="auto" w:sz="4" w:space="0"/>
            </w:tcBorders>
            <w:noWrap/>
            <w:vAlign w:val="center"/>
          </w:tcPr>
          <w:p w14:paraId="7AC1B34D">
            <w:pPr>
              <w:widowControl/>
              <w:jc w:val="left"/>
              <w:rPr>
                <w:rFonts w:ascii="宋体" w:hAnsi="宋体" w:cs="宋体"/>
                <w:kern w:val="0"/>
                <w:sz w:val="28"/>
                <w:szCs w:val="28"/>
              </w:rPr>
            </w:pPr>
            <w:r>
              <w:rPr>
                <w:rFonts w:hint="eastAsia" w:ascii="宋体" w:hAnsi="宋体" w:cs="宋体"/>
                <w:kern w:val="0"/>
                <w:sz w:val="28"/>
                <w:szCs w:val="28"/>
              </w:rPr>
              <w:t>3000以上-5000（含5000）</w:t>
            </w:r>
          </w:p>
        </w:tc>
        <w:tc>
          <w:tcPr>
            <w:tcW w:w="4569" w:type="dxa"/>
            <w:tcBorders>
              <w:top w:val="nil"/>
              <w:left w:val="nil"/>
              <w:bottom w:val="single" w:color="auto" w:sz="4" w:space="0"/>
              <w:right w:val="single" w:color="auto" w:sz="4" w:space="0"/>
            </w:tcBorders>
            <w:noWrap/>
            <w:vAlign w:val="center"/>
          </w:tcPr>
          <w:p w14:paraId="61490FBC">
            <w:pPr>
              <w:widowControl/>
              <w:jc w:val="center"/>
              <w:rPr>
                <w:rFonts w:ascii="宋体" w:hAnsi="宋体" w:cs="宋体"/>
                <w:kern w:val="0"/>
                <w:sz w:val="28"/>
                <w:szCs w:val="28"/>
              </w:rPr>
            </w:pPr>
            <w:r>
              <w:rPr>
                <w:rFonts w:hint="eastAsia" w:ascii="宋体" w:hAnsi="宋体" w:cs="宋体"/>
                <w:kern w:val="0"/>
                <w:sz w:val="28"/>
                <w:szCs w:val="28"/>
              </w:rPr>
              <w:t>1‰</w:t>
            </w:r>
          </w:p>
        </w:tc>
      </w:tr>
      <w:tr w14:paraId="24824854">
        <w:tblPrEx>
          <w:tblCellMar>
            <w:top w:w="0" w:type="dxa"/>
            <w:left w:w="108" w:type="dxa"/>
            <w:bottom w:w="0" w:type="dxa"/>
            <w:right w:w="108" w:type="dxa"/>
          </w:tblCellMar>
        </w:tblPrEx>
        <w:trPr>
          <w:trHeight w:val="559" w:hRule="atLeast"/>
          <w:jc w:val="center"/>
        </w:trPr>
        <w:tc>
          <w:tcPr>
            <w:tcW w:w="648" w:type="dxa"/>
            <w:tcBorders>
              <w:top w:val="nil"/>
              <w:left w:val="single" w:color="auto" w:sz="4" w:space="0"/>
              <w:bottom w:val="single" w:color="auto" w:sz="4" w:space="0"/>
              <w:right w:val="single" w:color="auto" w:sz="4" w:space="0"/>
            </w:tcBorders>
            <w:noWrap/>
            <w:vAlign w:val="center"/>
          </w:tcPr>
          <w:p w14:paraId="73251CBA">
            <w:pPr>
              <w:widowControl/>
              <w:jc w:val="center"/>
              <w:rPr>
                <w:rFonts w:ascii="宋体" w:hAnsi="宋体" w:cs="宋体"/>
                <w:kern w:val="0"/>
                <w:sz w:val="28"/>
                <w:szCs w:val="28"/>
              </w:rPr>
            </w:pPr>
            <w:r>
              <w:rPr>
                <w:rFonts w:hint="eastAsia" w:ascii="宋体" w:hAnsi="宋体" w:cs="宋体"/>
                <w:kern w:val="0"/>
                <w:sz w:val="28"/>
                <w:szCs w:val="28"/>
              </w:rPr>
              <w:t>5</w:t>
            </w:r>
          </w:p>
        </w:tc>
        <w:tc>
          <w:tcPr>
            <w:tcW w:w="3780" w:type="dxa"/>
            <w:tcBorders>
              <w:top w:val="single" w:color="auto" w:sz="4" w:space="0"/>
              <w:left w:val="nil"/>
              <w:bottom w:val="single" w:color="auto" w:sz="4" w:space="0"/>
              <w:right w:val="single" w:color="auto" w:sz="4" w:space="0"/>
            </w:tcBorders>
            <w:noWrap/>
            <w:vAlign w:val="center"/>
          </w:tcPr>
          <w:p w14:paraId="7C93289E">
            <w:pPr>
              <w:widowControl/>
              <w:jc w:val="left"/>
              <w:rPr>
                <w:rFonts w:ascii="宋体" w:hAnsi="宋体" w:cs="宋体"/>
                <w:kern w:val="0"/>
                <w:sz w:val="28"/>
                <w:szCs w:val="28"/>
              </w:rPr>
            </w:pPr>
            <w:r>
              <w:rPr>
                <w:rFonts w:hint="eastAsia" w:ascii="宋体" w:hAnsi="宋体" w:cs="宋体"/>
                <w:kern w:val="0"/>
                <w:sz w:val="28"/>
                <w:szCs w:val="28"/>
              </w:rPr>
              <w:t>5000以上-10000（含10000）</w:t>
            </w:r>
          </w:p>
        </w:tc>
        <w:tc>
          <w:tcPr>
            <w:tcW w:w="4569" w:type="dxa"/>
            <w:tcBorders>
              <w:top w:val="nil"/>
              <w:left w:val="nil"/>
              <w:bottom w:val="single" w:color="auto" w:sz="4" w:space="0"/>
              <w:right w:val="single" w:color="auto" w:sz="4" w:space="0"/>
            </w:tcBorders>
            <w:noWrap/>
            <w:vAlign w:val="center"/>
          </w:tcPr>
          <w:p w14:paraId="03254944">
            <w:pPr>
              <w:widowControl/>
              <w:jc w:val="center"/>
              <w:rPr>
                <w:rFonts w:ascii="宋体" w:hAnsi="宋体" w:cs="宋体"/>
                <w:kern w:val="0"/>
                <w:sz w:val="28"/>
                <w:szCs w:val="28"/>
              </w:rPr>
            </w:pPr>
            <w:r>
              <w:rPr>
                <w:rFonts w:hint="eastAsia" w:ascii="宋体" w:hAnsi="宋体" w:cs="宋体"/>
                <w:kern w:val="0"/>
                <w:sz w:val="28"/>
                <w:szCs w:val="28"/>
              </w:rPr>
              <w:t>0.5‰</w:t>
            </w:r>
          </w:p>
        </w:tc>
      </w:tr>
      <w:tr w14:paraId="6AD408CB">
        <w:tblPrEx>
          <w:tblCellMar>
            <w:top w:w="0" w:type="dxa"/>
            <w:left w:w="108" w:type="dxa"/>
            <w:bottom w:w="0" w:type="dxa"/>
            <w:right w:w="108" w:type="dxa"/>
          </w:tblCellMar>
        </w:tblPrEx>
        <w:trPr>
          <w:trHeight w:val="559" w:hRule="atLeast"/>
          <w:jc w:val="center"/>
        </w:trPr>
        <w:tc>
          <w:tcPr>
            <w:tcW w:w="648" w:type="dxa"/>
            <w:tcBorders>
              <w:top w:val="nil"/>
              <w:left w:val="single" w:color="auto" w:sz="4" w:space="0"/>
              <w:bottom w:val="single" w:color="auto" w:sz="4" w:space="0"/>
              <w:right w:val="single" w:color="auto" w:sz="4" w:space="0"/>
            </w:tcBorders>
            <w:noWrap/>
            <w:vAlign w:val="center"/>
          </w:tcPr>
          <w:p w14:paraId="14485B43">
            <w:pPr>
              <w:widowControl/>
              <w:jc w:val="center"/>
              <w:rPr>
                <w:rFonts w:ascii="宋体" w:hAnsi="宋体" w:cs="宋体"/>
                <w:kern w:val="0"/>
                <w:sz w:val="28"/>
                <w:szCs w:val="28"/>
              </w:rPr>
            </w:pPr>
            <w:r>
              <w:rPr>
                <w:rFonts w:hint="eastAsia" w:ascii="宋体" w:hAnsi="宋体" w:cs="宋体"/>
                <w:kern w:val="0"/>
                <w:sz w:val="28"/>
                <w:szCs w:val="28"/>
              </w:rPr>
              <w:t>6</w:t>
            </w:r>
          </w:p>
        </w:tc>
        <w:tc>
          <w:tcPr>
            <w:tcW w:w="3780" w:type="dxa"/>
            <w:tcBorders>
              <w:top w:val="single" w:color="auto" w:sz="4" w:space="0"/>
              <w:left w:val="nil"/>
              <w:bottom w:val="single" w:color="auto" w:sz="4" w:space="0"/>
              <w:right w:val="single" w:color="auto" w:sz="4" w:space="0"/>
            </w:tcBorders>
            <w:noWrap/>
            <w:vAlign w:val="center"/>
          </w:tcPr>
          <w:p w14:paraId="1817CAAC">
            <w:pPr>
              <w:widowControl/>
              <w:jc w:val="left"/>
              <w:rPr>
                <w:rFonts w:ascii="宋体" w:hAnsi="宋体" w:cs="宋体"/>
                <w:kern w:val="0"/>
                <w:sz w:val="28"/>
                <w:szCs w:val="28"/>
              </w:rPr>
            </w:pPr>
            <w:r>
              <w:rPr>
                <w:rFonts w:hint="eastAsia" w:ascii="宋体" w:hAnsi="宋体" w:cs="宋体"/>
                <w:kern w:val="0"/>
                <w:sz w:val="28"/>
                <w:szCs w:val="28"/>
              </w:rPr>
              <w:t>10000以上</w:t>
            </w:r>
          </w:p>
        </w:tc>
        <w:tc>
          <w:tcPr>
            <w:tcW w:w="4569" w:type="dxa"/>
            <w:tcBorders>
              <w:top w:val="nil"/>
              <w:left w:val="nil"/>
              <w:bottom w:val="single" w:color="auto" w:sz="4" w:space="0"/>
              <w:right w:val="single" w:color="auto" w:sz="4" w:space="0"/>
            </w:tcBorders>
            <w:noWrap/>
            <w:vAlign w:val="center"/>
          </w:tcPr>
          <w:p w14:paraId="4EC2F285">
            <w:pPr>
              <w:widowControl/>
              <w:jc w:val="center"/>
              <w:rPr>
                <w:rFonts w:ascii="宋体" w:hAnsi="宋体" w:cs="宋体"/>
                <w:kern w:val="0"/>
                <w:sz w:val="28"/>
                <w:szCs w:val="28"/>
              </w:rPr>
            </w:pPr>
            <w:r>
              <w:rPr>
                <w:rFonts w:hint="eastAsia" w:ascii="宋体" w:hAnsi="宋体" w:cs="宋体"/>
                <w:kern w:val="0"/>
                <w:sz w:val="28"/>
                <w:szCs w:val="28"/>
              </w:rPr>
              <w:t>0.2‰</w:t>
            </w:r>
          </w:p>
        </w:tc>
      </w:tr>
      <w:tr w14:paraId="1A99E59A">
        <w:tblPrEx>
          <w:tblCellMar>
            <w:top w:w="0" w:type="dxa"/>
            <w:left w:w="108" w:type="dxa"/>
            <w:bottom w:w="0" w:type="dxa"/>
            <w:right w:w="108" w:type="dxa"/>
          </w:tblCellMar>
        </w:tblPrEx>
        <w:trPr>
          <w:trHeight w:val="559" w:hRule="atLeast"/>
          <w:jc w:val="center"/>
        </w:trPr>
        <w:tc>
          <w:tcPr>
            <w:tcW w:w="8997" w:type="dxa"/>
            <w:gridSpan w:val="3"/>
            <w:tcBorders>
              <w:top w:val="single" w:color="auto" w:sz="4" w:space="0"/>
              <w:left w:val="single" w:color="auto" w:sz="4" w:space="0"/>
              <w:bottom w:val="single" w:color="auto" w:sz="4" w:space="0"/>
              <w:right w:val="single" w:color="000000" w:sz="4" w:space="0"/>
            </w:tcBorders>
            <w:noWrap/>
            <w:vAlign w:val="center"/>
          </w:tcPr>
          <w:p w14:paraId="73BFDCBD">
            <w:pPr>
              <w:widowControl/>
              <w:jc w:val="left"/>
              <w:rPr>
                <w:rFonts w:ascii="宋体" w:hAnsi="宋体" w:cs="宋体"/>
                <w:kern w:val="0"/>
                <w:sz w:val="28"/>
                <w:szCs w:val="28"/>
              </w:rPr>
            </w:pPr>
            <w:r>
              <w:rPr>
                <w:rFonts w:hint="eastAsia" w:ascii="宋体" w:hAnsi="宋体" w:cs="宋体"/>
                <w:kern w:val="0"/>
                <w:sz w:val="28"/>
                <w:szCs w:val="28"/>
              </w:rPr>
              <w:t>二、系数</w:t>
            </w:r>
          </w:p>
        </w:tc>
      </w:tr>
      <w:tr w14:paraId="48C0B6CE">
        <w:tblPrEx>
          <w:tblCellMar>
            <w:top w:w="0" w:type="dxa"/>
            <w:left w:w="108" w:type="dxa"/>
            <w:bottom w:w="0" w:type="dxa"/>
            <w:right w:w="108" w:type="dxa"/>
          </w:tblCellMar>
        </w:tblPrEx>
        <w:trPr>
          <w:trHeight w:val="559" w:hRule="atLeast"/>
          <w:jc w:val="center"/>
        </w:trPr>
        <w:tc>
          <w:tcPr>
            <w:tcW w:w="648" w:type="dxa"/>
            <w:tcBorders>
              <w:top w:val="nil"/>
              <w:left w:val="single" w:color="auto" w:sz="4" w:space="0"/>
              <w:bottom w:val="single" w:color="auto" w:sz="4" w:space="0"/>
              <w:right w:val="single" w:color="auto" w:sz="4" w:space="0"/>
            </w:tcBorders>
            <w:noWrap/>
            <w:vAlign w:val="center"/>
          </w:tcPr>
          <w:p w14:paraId="339D8179">
            <w:pPr>
              <w:widowControl/>
              <w:spacing w:line="300" w:lineRule="exact"/>
              <w:jc w:val="center"/>
              <w:rPr>
                <w:rFonts w:ascii="宋体" w:hAnsi="宋体" w:cs="宋体"/>
                <w:kern w:val="0"/>
                <w:sz w:val="28"/>
                <w:szCs w:val="28"/>
              </w:rPr>
            </w:pPr>
            <w:r>
              <w:rPr>
                <w:rFonts w:hint="eastAsia" w:ascii="宋体" w:hAnsi="宋体" w:cs="宋体"/>
                <w:kern w:val="0"/>
                <w:sz w:val="28"/>
                <w:szCs w:val="28"/>
              </w:rPr>
              <w:t>序号</w:t>
            </w:r>
          </w:p>
        </w:tc>
        <w:tc>
          <w:tcPr>
            <w:tcW w:w="3780" w:type="dxa"/>
            <w:tcBorders>
              <w:top w:val="single" w:color="auto" w:sz="4" w:space="0"/>
              <w:left w:val="nil"/>
              <w:bottom w:val="single" w:color="auto" w:sz="4" w:space="0"/>
              <w:right w:val="single" w:color="auto" w:sz="4" w:space="0"/>
            </w:tcBorders>
            <w:noWrap/>
            <w:vAlign w:val="center"/>
          </w:tcPr>
          <w:p w14:paraId="01A598C4">
            <w:pPr>
              <w:widowControl/>
              <w:jc w:val="center"/>
              <w:rPr>
                <w:rFonts w:ascii="宋体" w:hAnsi="宋体" w:cs="宋体"/>
                <w:kern w:val="0"/>
                <w:sz w:val="28"/>
                <w:szCs w:val="28"/>
              </w:rPr>
            </w:pPr>
            <w:r>
              <w:rPr>
                <w:rFonts w:hint="eastAsia" w:ascii="宋体" w:hAnsi="宋体" w:cs="宋体"/>
                <w:kern w:val="0"/>
                <w:sz w:val="28"/>
                <w:szCs w:val="28"/>
              </w:rPr>
              <w:t>复杂因素</w:t>
            </w:r>
          </w:p>
        </w:tc>
        <w:tc>
          <w:tcPr>
            <w:tcW w:w="4569" w:type="dxa"/>
            <w:tcBorders>
              <w:top w:val="nil"/>
              <w:left w:val="nil"/>
              <w:bottom w:val="single" w:color="auto" w:sz="4" w:space="0"/>
              <w:right w:val="single" w:color="auto" w:sz="4" w:space="0"/>
            </w:tcBorders>
            <w:noWrap/>
            <w:vAlign w:val="center"/>
          </w:tcPr>
          <w:p w14:paraId="671BD470">
            <w:pPr>
              <w:widowControl/>
              <w:jc w:val="center"/>
              <w:rPr>
                <w:rFonts w:ascii="宋体" w:hAnsi="宋体" w:cs="宋体"/>
                <w:kern w:val="0"/>
                <w:sz w:val="28"/>
                <w:szCs w:val="28"/>
              </w:rPr>
            </w:pPr>
            <w:r>
              <w:rPr>
                <w:rFonts w:hint="eastAsia" w:ascii="宋体" w:hAnsi="宋体" w:cs="宋体"/>
                <w:kern w:val="0"/>
                <w:sz w:val="28"/>
                <w:szCs w:val="28"/>
              </w:rPr>
              <w:t>系数标准</w:t>
            </w:r>
          </w:p>
        </w:tc>
      </w:tr>
      <w:tr w14:paraId="3BBF0076">
        <w:tblPrEx>
          <w:tblCellMar>
            <w:top w:w="0" w:type="dxa"/>
            <w:left w:w="108" w:type="dxa"/>
            <w:bottom w:w="0" w:type="dxa"/>
            <w:right w:w="108" w:type="dxa"/>
          </w:tblCellMar>
        </w:tblPrEx>
        <w:trPr>
          <w:trHeight w:val="559" w:hRule="atLeast"/>
          <w:jc w:val="center"/>
        </w:trPr>
        <w:tc>
          <w:tcPr>
            <w:tcW w:w="648" w:type="dxa"/>
            <w:tcBorders>
              <w:top w:val="nil"/>
              <w:left w:val="single" w:color="auto" w:sz="4" w:space="0"/>
              <w:bottom w:val="single" w:color="auto" w:sz="4" w:space="0"/>
              <w:right w:val="single" w:color="auto" w:sz="4" w:space="0"/>
            </w:tcBorders>
            <w:noWrap/>
            <w:vAlign w:val="center"/>
          </w:tcPr>
          <w:p w14:paraId="0E0A2A8D">
            <w:pPr>
              <w:widowControl/>
              <w:jc w:val="center"/>
              <w:rPr>
                <w:rFonts w:ascii="宋体" w:hAnsi="宋体" w:cs="宋体"/>
                <w:kern w:val="0"/>
                <w:sz w:val="28"/>
                <w:szCs w:val="28"/>
              </w:rPr>
            </w:pPr>
            <w:r>
              <w:rPr>
                <w:rFonts w:hint="eastAsia" w:ascii="宋体" w:hAnsi="宋体" w:cs="宋体"/>
                <w:kern w:val="0"/>
                <w:sz w:val="28"/>
                <w:szCs w:val="28"/>
              </w:rPr>
              <w:t>1</w:t>
            </w:r>
          </w:p>
        </w:tc>
        <w:tc>
          <w:tcPr>
            <w:tcW w:w="3780" w:type="dxa"/>
            <w:tcBorders>
              <w:top w:val="single" w:color="auto" w:sz="4" w:space="0"/>
              <w:left w:val="nil"/>
              <w:bottom w:val="single" w:color="auto" w:sz="4" w:space="0"/>
              <w:right w:val="single" w:color="auto" w:sz="4" w:space="0"/>
            </w:tcBorders>
            <w:noWrap/>
            <w:vAlign w:val="center"/>
          </w:tcPr>
          <w:p w14:paraId="47C07D25">
            <w:pPr>
              <w:widowControl/>
              <w:jc w:val="center"/>
              <w:rPr>
                <w:rFonts w:ascii="宋体" w:hAnsi="宋体" w:cs="宋体"/>
                <w:kern w:val="0"/>
                <w:sz w:val="28"/>
                <w:szCs w:val="28"/>
              </w:rPr>
            </w:pPr>
            <w:r>
              <w:rPr>
                <w:rFonts w:hint="eastAsia" w:ascii="宋体" w:hAnsi="宋体" w:cs="宋体"/>
                <w:kern w:val="0"/>
                <w:sz w:val="28"/>
                <w:szCs w:val="28"/>
              </w:rPr>
              <w:t>资金使用单位系数</w:t>
            </w:r>
          </w:p>
        </w:tc>
        <w:tc>
          <w:tcPr>
            <w:tcW w:w="4569" w:type="dxa"/>
            <w:tcBorders>
              <w:top w:val="nil"/>
              <w:left w:val="nil"/>
              <w:bottom w:val="single" w:color="auto" w:sz="4" w:space="0"/>
              <w:right w:val="single" w:color="auto" w:sz="4" w:space="0"/>
            </w:tcBorders>
            <w:noWrap/>
            <w:vAlign w:val="center"/>
          </w:tcPr>
          <w:p w14:paraId="460B8D8B">
            <w:pPr>
              <w:widowControl/>
              <w:jc w:val="left"/>
              <w:rPr>
                <w:rFonts w:ascii="宋体" w:hAnsi="宋体" w:cs="宋体"/>
                <w:kern w:val="0"/>
                <w:sz w:val="28"/>
                <w:szCs w:val="28"/>
              </w:rPr>
            </w:pPr>
            <w:r>
              <w:rPr>
                <w:rFonts w:hint="eastAsia" w:ascii="宋体" w:hAnsi="宋体" w:cs="宋体"/>
                <w:kern w:val="0"/>
                <w:sz w:val="28"/>
                <w:szCs w:val="28"/>
              </w:rPr>
              <w:t>独家：0.8，多家：1</w:t>
            </w:r>
          </w:p>
        </w:tc>
      </w:tr>
      <w:tr w14:paraId="3006D2FF">
        <w:tblPrEx>
          <w:tblCellMar>
            <w:top w:w="0" w:type="dxa"/>
            <w:left w:w="108" w:type="dxa"/>
            <w:bottom w:w="0" w:type="dxa"/>
            <w:right w:w="108" w:type="dxa"/>
          </w:tblCellMar>
        </w:tblPrEx>
        <w:trPr>
          <w:trHeight w:val="715" w:hRule="atLeast"/>
          <w:jc w:val="center"/>
        </w:trPr>
        <w:tc>
          <w:tcPr>
            <w:tcW w:w="648" w:type="dxa"/>
            <w:tcBorders>
              <w:top w:val="nil"/>
              <w:left w:val="single" w:color="auto" w:sz="4" w:space="0"/>
              <w:bottom w:val="single" w:color="auto" w:sz="4" w:space="0"/>
              <w:right w:val="single" w:color="auto" w:sz="4" w:space="0"/>
            </w:tcBorders>
            <w:noWrap/>
            <w:vAlign w:val="center"/>
          </w:tcPr>
          <w:p w14:paraId="35C162AA">
            <w:pPr>
              <w:widowControl/>
              <w:jc w:val="center"/>
              <w:rPr>
                <w:rFonts w:ascii="宋体" w:hAnsi="宋体" w:cs="宋体"/>
                <w:kern w:val="0"/>
                <w:sz w:val="28"/>
                <w:szCs w:val="28"/>
              </w:rPr>
            </w:pPr>
            <w:r>
              <w:rPr>
                <w:rFonts w:hint="eastAsia" w:ascii="宋体" w:hAnsi="宋体" w:cs="宋体"/>
                <w:kern w:val="0"/>
                <w:sz w:val="28"/>
                <w:szCs w:val="28"/>
              </w:rPr>
              <w:t>2</w:t>
            </w:r>
          </w:p>
        </w:tc>
        <w:tc>
          <w:tcPr>
            <w:tcW w:w="3780" w:type="dxa"/>
            <w:tcBorders>
              <w:top w:val="single" w:color="auto" w:sz="4" w:space="0"/>
              <w:left w:val="nil"/>
              <w:bottom w:val="single" w:color="auto" w:sz="4" w:space="0"/>
              <w:right w:val="single" w:color="auto" w:sz="4" w:space="0"/>
            </w:tcBorders>
            <w:noWrap/>
            <w:vAlign w:val="center"/>
          </w:tcPr>
          <w:p w14:paraId="7707C95A">
            <w:pPr>
              <w:widowControl/>
              <w:jc w:val="center"/>
              <w:rPr>
                <w:rFonts w:ascii="宋体" w:hAnsi="宋体" w:cs="宋体"/>
                <w:kern w:val="0"/>
                <w:sz w:val="28"/>
                <w:szCs w:val="28"/>
              </w:rPr>
            </w:pPr>
            <w:r>
              <w:rPr>
                <w:rFonts w:hint="eastAsia" w:ascii="宋体" w:hAnsi="宋体" w:cs="宋体"/>
                <w:kern w:val="0"/>
                <w:sz w:val="28"/>
                <w:szCs w:val="28"/>
              </w:rPr>
              <w:t>行政区系数</w:t>
            </w:r>
          </w:p>
        </w:tc>
        <w:tc>
          <w:tcPr>
            <w:tcW w:w="4569" w:type="dxa"/>
            <w:tcBorders>
              <w:top w:val="nil"/>
              <w:left w:val="nil"/>
              <w:bottom w:val="single" w:color="auto" w:sz="4" w:space="0"/>
              <w:right w:val="single" w:color="auto" w:sz="4" w:space="0"/>
            </w:tcBorders>
            <w:noWrap/>
            <w:vAlign w:val="center"/>
          </w:tcPr>
          <w:p w14:paraId="145CF810">
            <w:pPr>
              <w:widowControl/>
              <w:rPr>
                <w:rFonts w:ascii="宋体" w:hAnsi="宋体" w:cs="宋体"/>
                <w:w w:val="85"/>
                <w:kern w:val="0"/>
                <w:sz w:val="28"/>
                <w:szCs w:val="28"/>
              </w:rPr>
            </w:pPr>
            <w:r>
              <w:rPr>
                <w:rFonts w:hint="eastAsia" w:ascii="宋体" w:hAnsi="宋体" w:cs="宋体"/>
                <w:w w:val="85"/>
                <w:kern w:val="0"/>
                <w:sz w:val="28"/>
                <w:szCs w:val="28"/>
              </w:rPr>
              <w:t>每多一个区乡增加0.05，调整最多增加0.2</w:t>
            </w:r>
          </w:p>
        </w:tc>
      </w:tr>
      <w:tr w14:paraId="20F22662">
        <w:tblPrEx>
          <w:tblCellMar>
            <w:top w:w="0" w:type="dxa"/>
            <w:left w:w="108" w:type="dxa"/>
            <w:bottom w:w="0" w:type="dxa"/>
            <w:right w:w="108" w:type="dxa"/>
          </w:tblCellMar>
        </w:tblPrEx>
        <w:trPr>
          <w:trHeight w:val="782" w:hRule="atLeast"/>
          <w:jc w:val="center"/>
        </w:trPr>
        <w:tc>
          <w:tcPr>
            <w:tcW w:w="648" w:type="dxa"/>
            <w:tcBorders>
              <w:top w:val="nil"/>
              <w:left w:val="single" w:color="auto" w:sz="4" w:space="0"/>
              <w:bottom w:val="single" w:color="auto" w:sz="4" w:space="0"/>
              <w:right w:val="single" w:color="auto" w:sz="4" w:space="0"/>
            </w:tcBorders>
            <w:noWrap/>
            <w:vAlign w:val="center"/>
          </w:tcPr>
          <w:p w14:paraId="02EAAB6B">
            <w:pPr>
              <w:widowControl/>
              <w:jc w:val="center"/>
              <w:rPr>
                <w:rFonts w:ascii="宋体" w:hAnsi="宋体" w:cs="宋体"/>
                <w:kern w:val="0"/>
                <w:sz w:val="28"/>
                <w:szCs w:val="28"/>
              </w:rPr>
            </w:pPr>
            <w:r>
              <w:rPr>
                <w:rFonts w:hint="eastAsia" w:ascii="宋体" w:hAnsi="宋体" w:cs="宋体"/>
                <w:kern w:val="0"/>
                <w:sz w:val="28"/>
                <w:szCs w:val="28"/>
              </w:rPr>
              <w:t>3</w:t>
            </w:r>
          </w:p>
        </w:tc>
        <w:tc>
          <w:tcPr>
            <w:tcW w:w="3780" w:type="dxa"/>
            <w:tcBorders>
              <w:top w:val="single" w:color="auto" w:sz="4" w:space="0"/>
              <w:left w:val="nil"/>
              <w:bottom w:val="single" w:color="auto" w:sz="4" w:space="0"/>
              <w:right w:val="single" w:color="auto" w:sz="4" w:space="0"/>
            </w:tcBorders>
            <w:noWrap/>
            <w:vAlign w:val="center"/>
          </w:tcPr>
          <w:p w14:paraId="7EC5497C">
            <w:pPr>
              <w:widowControl/>
              <w:jc w:val="center"/>
              <w:rPr>
                <w:rFonts w:ascii="宋体" w:hAnsi="宋体" w:cs="宋体"/>
                <w:kern w:val="0"/>
                <w:sz w:val="28"/>
                <w:szCs w:val="28"/>
              </w:rPr>
            </w:pPr>
            <w:r>
              <w:rPr>
                <w:rFonts w:hint="eastAsia" w:ascii="宋体" w:hAnsi="宋体" w:cs="宋体"/>
                <w:kern w:val="0"/>
                <w:sz w:val="28"/>
                <w:szCs w:val="28"/>
              </w:rPr>
              <w:t>考核指标体系系数</w:t>
            </w:r>
          </w:p>
        </w:tc>
        <w:tc>
          <w:tcPr>
            <w:tcW w:w="4569" w:type="dxa"/>
            <w:tcBorders>
              <w:top w:val="nil"/>
              <w:left w:val="nil"/>
              <w:bottom w:val="single" w:color="auto" w:sz="4" w:space="0"/>
              <w:right w:val="single" w:color="auto" w:sz="4" w:space="0"/>
            </w:tcBorders>
            <w:noWrap/>
            <w:vAlign w:val="center"/>
          </w:tcPr>
          <w:p w14:paraId="3990E944">
            <w:pPr>
              <w:widowControl/>
              <w:rPr>
                <w:rFonts w:ascii="宋体" w:hAnsi="宋体" w:cs="宋体"/>
                <w:w w:val="75"/>
                <w:kern w:val="0"/>
                <w:sz w:val="28"/>
                <w:szCs w:val="28"/>
              </w:rPr>
            </w:pPr>
            <w:r>
              <w:rPr>
                <w:rFonts w:hint="eastAsia" w:ascii="宋体" w:hAnsi="宋体" w:cs="宋体"/>
                <w:w w:val="75"/>
                <w:kern w:val="0"/>
                <w:sz w:val="28"/>
                <w:szCs w:val="28"/>
              </w:rPr>
              <w:t>每多一个指标体系增加0.05，调整最多增加0.2</w:t>
            </w:r>
          </w:p>
        </w:tc>
      </w:tr>
      <w:tr w14:paraId="1C1BAF26">
        <w:tblPrEx>
          <w:tblCellMar>
            <w:top w:w="0" w:type="dxa"/>
            <w:left w:w="108" w:type="dxa"/>
            <w:bottom w:w="0" w:type="dxa"/>
            <w:right w:w="108" w:type="dxa"/>
          </w:tblCellMar>
        </w:tblPrEx>
        <w:trPr>
          <w:trHeight w:val="855" w:hRule="atLeast"/>
          <w:jc w:val="center"/>
        </w:trPr>
        <w:tc>
          <w:tcPr>
            <w:tcW w:w="8997" w:type="dxa"/>
            <w:gridSpan w:val="3"/>
            <w:tcBorders>
              <w:top w:val="single" w:color="auto" w:sz="4" w:space="0"/>
              <w:left w:val="single" w:color="auto" w:sz="4" w:space="0"/>
              <w:bottom w:val="single" w:color="auto" w:sz="4" w:space="0"/>
              <w:right w:val="single" w:color="auto" w:sz="4" w:space="0"/>
            </w:tcBorders>
            <w:noWrap/>
            <w:vAlign w:val="center"/>
          </w:tcPr>
          <w:p w14:paraId="5971707F">
            <w:pPr>
              <w:widowControl/>
              <w:jc w:val="center"/>
              <w:rPr>
                <w:rFonts w:ascii="宋体" w:hAnsi="宋体" w:cs="宋体"/>
                <w:kern w:val="0"/>
                <w:sz w:val="28"/>
                <w:szCs w:val="28"/>
              </w:rPr>
            </w:pPr>
            <w:r>
              <w:rPr>
                <w:rFonts w:hint="eastAsia" w:ascii="宋体" w:hAnsi="宋体" w:cs="宋体"/>
                <w:kern w:val="0"/>
                <w:sz w:val="28"/>
                <w:szCs w:val="28"/>
              </w:rPr>
              <w:t>以上两项加和不满20000元，则起步收费按20000元</w:t>
            </w:r>
          </w:p>
        </w:tc>
      </w:tr>
    </w:tbl>
    <w:p w14:paraId="4289B489">
      <w:pPr>
        <w:rPr>
          <w:rFonts w:hint="eastAsia" w:ascii="黑体" w:eastAsia="黑体"/>
          <w:sz w:val="28"/>
          <w:szCs w:val="28"/>
        </w:rPr>
      </w:pPr>
    </w:p>
    <w:p w14:paraId="331C6BCC">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905A0"/>
    <w:rsid w:val="0C39369B"/>
    <w:rsid w:val="0F783207"/>
    <w:rsid w:val="12B04590"/>
    <w:rsid w:val="15190004"/>
    <w:rsid w:val="194303E2"/>
    <w:rsid w:val="22397A72"/>
    <w:rsid w:val="22B905A0"/>
    <w:rsid w:val="244244E1"/>
    <w:rsid w:val="2617288D"/>
    <w:rsid w:val="283D6944"/>
    <w:rsid w:val="3C69372C"/>
    <w:rsid w:val="3CDE204C"/>
    <w:rsid w:val="3D4D2D2E"/>
    <w:rsid w:val="407A046A"/>
    <w:rsid w:val="514748DE"/>
    <w:rsid w:val="585D4208"/>
    <w:rsid w:val="615A7643"/>
    <w:rsid w:val="6587289C"/>
    <w:rsid w:val="689D21D0"/>
    <w:rsid w:val="690D6E4C"/>
    <w:rsid w:val="74193BB9"/>
    <w:rsid w:val="7BC42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hint="eastAsia" w:ascii="Times New Roman" w:hAnsi="Times New Roman" w:eastAsia="方正小标宋简体" w:cs="宋体"/>
      <w:kern w:val="44"/>
      <w:sz w:val="44"/>
      <w:szCs w:val="48"/>
      <w:lang w:bidi="ar"/>
    </w:rPr>
  </w:style>
  <w:style w:type="paragraph" w:styleId="3">
    <w:name w:val="heading 2"/>
    <w:basedOn w:val="1"/>
    <w:next w:val="1"/>
    <w:link w:val="10"/>
    <w:semiHidden/>
    <w:unhideWhenUsed/>
    <w:qFormat/>
    <w:uiPriority w:val="0"/>
    <w:pPr>
      <w:spacing w:beforeAutospacing="0" w:afterAutospacing="0"/>
      <w:ind w:firstLine="880" w:firstLineChars="200"/>
      <w:jc w:val="left"/>
      <w:outlineLvl w:val="1"/>
    </w:pPr>
    <w:rPr>
      <w:rFonts w:hint="eastAsia" w:ascii="宋体" w:hAnsi="宋体" w:eastAsia="黑体" w:cs="宋体"/>
      <w:bCs/>
      <w:kern w:val="0"/>
      <w:sz w:val="32"/>
      <w:szCs w:val="36"/>
      <w:lang w:bidi="ar"/>
    </w:rPr>
  </w:style>
  <w:style w:type="paragraph" w:styleId="4">
    <w:name w:val="heading 3"/>
    <w:basedOn w:val="1"/>
    <w:next w:val="1"/>
    <w:link w:val="9"/>
    <w:semiHidden/>
    <w:unhideWhenUsed/>
    <w:qFormat/>
    <w:uiPriority w:val="0"/>
    <w:pPr>
      <w:spacing w:beforeAutospacing="0" w:afterAutospacing="0"/>
      <w:ind w:firstLine="880" w:firstLineChars="200"/>
      <w:jc w:val="both"/>
      <w:outlineLvl w:val="2"/>
    </w:pPr>
    <w:rPr>
      <w:rFonts w:hint="eastAsia" w:ascii="宋体" w:hAnsi="宋体" w:eastAsia="楷体_GB2312" w:cs="宋体"/>
      <w:bCs/>
      <w:szCs w:val="27"/>
      <w:lang w:bidi="ar"/>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仿宋_GB2312"/>
      <w:b/>
      <w:sz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Body Text"/>
    <w:basedOn w:val="1"/>
    <w:uiPriority w:val="0"/>
    <w:pPr>
      <w:spacing w:after="120" w:afterLines="0" w:afterAutospacing="0"/>
    </w:pPr>
  </w:style>
  <w:style w:type="character" w:customStyle="1" w:styleId="9">
    <w:name w:val="标题 3 Char"/>
    <w:link w:val="4"/>
    <w:qFormat/>
    <w:uiPriority w:val="9"/>
    <w:rPr>
      <w:rFonts w:eastAsia="楷体_GB2312"/>
      <w:sz w:val="32"/>
    </w:rPr>
  </w:style>
  <w:style w:type="character" w:customStyle="1" w:styleId="10">
    <w:name w:val="标题 2 Char"/>
    <w:link w:val="3"/>
    <w:uiPriority w:val="0"/>
    <w:rPr>
      <w:rFonts w:ascii="Arial" w:hAnsi="Arial" w:eastAsia="黑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2026-04-01T09:28:00Z</dcterms:created>
  <dc:creator>段段段</dc:creator>
  <cp:lastModifiedBy>段段段</cp:lastModifiedBy>
  <dcterms:modified xsi:type="dcterms:W3CDTF">2026-04-01T09:28:52Z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19AAAACCF0924429B6251BD5D2019938_11</vt:lpwstr>
  </property>
  <property fmtid="{D5CDD505-2E9C-101B-9397-08002B2CF9AE}" pid="4" name="KSOTemplateDocerSaveRecord">
    <vt:lpwstr>eyJoZGlkIjoiY2Y2N2NhYjkzZDU5YmRlMDJmNTNkN2UzZTdlYzAwZjMiLCJ1c2VySWQiOiIyODE5Njg5ODIifQ==</vt:lpwstr>
  </property>
</Properties>
</file>